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4534" w:rsidRDefault="00C64534">
      <w:pPr>
        <w:pStyle w:val="BodyTextIndent3"/>
      </w:pPr>
      <w:r>
        <w:t>I.</w:t>
      </w:r>
      <w:r>
        <w:tab/>
        <w:t>PURPOSE: To establish appeals guidelines whereby providers may appeal decisions related to network enrollment status, clinical privileges, requests for proposal (RFP) awards/denials, utilization management decisions and claims payment.</w:t>
      </w:r>
    </w:p>
    <w:p w:rsidR="00C64534" w:rsidRDefault="00C64534">
      <w:pPr>
        <w:pStyle w:val="Header"/>
        <w:tabs>
          <w:tab w:val="clear" w:pos="4320"/>
          <w:tab w:val="clear" w:pos="8640"/>
        </w:tabs>
        <w:rPr>
          <w:rFonts w:ascii="Arial" w:hAnsi="Arial" w:cs="Arial"/>
        </w:rPr>
      </w:pPr>
    </w:p>
    <w:p w:rsidR="00C64534" w:rsidRDefault="00C64534">
      <w:pPr>
        <w:numPr>
          <w:ilvl w:val="0"/>
          <w:numId w:val="4"/>
        </w:numPr>
        <w:tabs>
          <w:tab w:val="clear" w:pos="1080"/>
          <w:tab w:val="num" w:pos="720"/>
        </w:tabs>
        <w:ind w:left="720"/>
        <w:rPr>
          <w:rFonts w:ascii="Arial" w:hAnsi="Arial" w:cs="Arial"/>
        </w:rPr>
      </w:pPr>
      <w:r>
        <w:rPr>
          <w:rFonts w:ascii="Arial" w:hAnsi="Arial" w:cs="Arial"/>
        </w:rPr>
        <w:t xml:space="preserve">APPLICATION: The provisions stated herein apply to all current and prospective Community Mental Health for Central Michigan </w:t>
      </w:r>
      <w:r w:rsidR="009637CF">
        <w:rPr>
          <w:rFonts w:ascii="Arial" w:hAnsi="Arial" w:cs="Arial"/>
        </w:rPr>
        <w:t xml:space="preserve">(CMHCM) </w:t>
      </w:r>
      <w:r>
        <w:rPr>
          <w:rFonts w:ascii="Arial" w:hAnsi="Arial" w:cs="Arial"/>
        </w:rPr>
        <w:t>service providers.</w:t>
      </w:r>
    </w:p>
    <w:p w:rsidR="00C64534" w:rsidRDefault="00C64534">
      <w:pPr>
        <w:rPr>
          <w:rFonts w:ascii="Arial" w:hAnsi="Arial" w:cs="Arial"/>
          <w:b/>
          <w:bCs/>
        </w:rPr>
      </w:pPr>
    </w:p>
    <w:p w:rsidR="00C64534" w:rsidRDefault="00C64534">
      <w:pPr>
        <w:numPr>
          <w:ilvl w:val="0"/>
          <w:numId w:val="4"/>
        </w:numPr>
        <w:tabs>
          <w:tab w:val="clear" w:pos="1080"/>
          <w:tab w:val="num" w:pos="720"/>
        </w:tabs>
        <w:ind w:hanging="1080"/>
        <w:rPr>
          <w:rFonts w:ascii="Arial" w:hAnsi="Arial" w:cs="Arial"/>
          <w:b/>
          <w:bCs/>
        </w:rPr>
      </w:pPr>
      <w:r>
        <w:rPr>
          <w:rFonts w:ascii="Arial" w:hAnsi="Arial" w:cs="Arial"/>
        </w:rPr>
        <w:t xml:space="preserve">REFERENCE: </w:t>
      </w:r>
    </w:p>
    <w:p w:rsidR="00C64534" w:rsidRDefault="00C64534">
      <w:pPr>
        <w:rPr>
          <w:rFonts w:ascii="Arial" w:hAnsi="Arial" w:cs="Arial"/>
          <w:b/>
          <w:bCs/>
          <w:sz w:val="10"/>
        </w:rPr>
      </w:pPr>
    </w:p>
    <w:p w:rsidR="00DA3C18" w:rsidRDefault="00DA3C18" w:rsidP="00DA3C18">
      <w:pPr>
        <w:pStyle w:val="ListParagraph"/>
        <w:numPr>
          <w:ilvl w:val="0"/>
          <w:numId w:val="8"/>
        </w:numPr>
        <w:tabs>
          <w:tab w:val="clear" w:pos="1440"/>
          <w:tab w:val="num" w:pos="1080"/>
        </w:tabs>
        <w:ind w:left="1080" w:hanging="360"/>
        <w:rPr>
          <w:rFonts w:ascii="Tahoma" w:hAnsi="Tahoma" w:cs="Tahoma"/>
          <w:sz w:val="20"/>
          <w:szCs w:val="20"/>
        </w:rPr>
      </w:pPr>
      <w:r>
        <w:rPr>
          <w:rFonts w:ascii="Tahoma" w:hAnsi="Tahoma" w:cs="Tahoma"/>
          <w:bCs/>
          <w:sz w:val="20"/>
          <w:szCs w:val="20"/>
        </w:rPr>
        <w:t>The Medicaid Managed Specialty Supports and Services Concurrent 1915(</w:t>
      </w:r>
      <w:proofErr w:type="spellStart"/>
      <w:r>
        <w:rPr>
          <w:rFonts w:ascii="Tahoma" w:hAnsi="Tahoma" w:cs="Tahoma"/>
          <w:bCs/>
          <w:sz w:val="20"/>
          <w:szCs w:val="20"/>
        </w:rPr>
        <w:t>i</w:t>
      </w:r>
      <w:proofErr w:type="spellEnd"/>
      <w:r>
        <w:rPr>
          <w:rFonts w:ascii="Tahoma" w:hAnsi="Tahoma" w:cs="Tahoma"/>
          <w:bCs/>
          <w:sz w:val="20"/>
          <w:szCs w:val="20"/>
        </w:rPr>
        <w:t>)/(c) 1115 Waiver Program(s), the 1115 Healthy Michigan Plan and Substance Use Disorder Community Grant Programs Agreement with Mid-State Health Network</w:t>
      </w:r>
    </w:p>
    <w:p w:rsidR="00802DB7" w:rsidRDefault="00802DB7" w:rsidP="00802DB7">
      <w:pPr>
        <w:widowControl/>
        <w:numPr>
          <w:ilvl w:val="0"/>
          <w:numId w:val="8"/>
        </w:numPr>
        <w:tabs>
          <w:tab w:val="clear" w:pos="1440"/>
          <w:tab w:val="num" w:pos="1080"/>
        </w:tabs>
        <w:autoSpaceDE/>
        <w:autoSpaceDN/>
        <w:adjustRightInd/>
        <w:ind w:left="1080" w:hanging="360"/>
        <w:rPr>
          <w:rFonts w:ascii="Arial" w:hAnsi="Arial" w:cs="Arial"/>
          <w:szCs w:val="20"/>
        </w:rPr>
      </w:pPr>
      <w:r w:rsidRPr="00C37184">
        <w:rPr>
          <w:rFonts w:ascii="Arial" w:hAnsi="Arial" w:cs="Arial"/>
          <w:szCs w:val="20"/>
        </w:rPr>
        <w:t>Michigan Dep</w:t>
      </w:r>
      <w:r w:rsidR="002871C2">
        <w:rPr>
          <w:rFonts w:ascii="Arial" w:hAnsi="Arial" w:cs="Arial"/>
          <w:szCs w:val="20"/>
        </w:rPr>
        <w:t>artment of Health and Human Services (MD</w:t>
      </w:r>
      <w:r w:rsidRPr="00C37184">
        <w:rPr>
          <w:rFonts w:ascii="Arial" w:hAnsi="Arial" w:cs="Arial"/>
          <w:szCs w:val="20"/>
        </w:rPr>
        <w:t>H</w:t>
      </w:r>
      <w:r w:rsidR="002871C2">
        <w:rPr>
          <w:rFonts w:ascii="Arial" w:hAnsi="Arial" w:cs="Arial"/>
          <w:szCs w:val="20"/>
        </w:rPr>
        <w:t>HS</w:t>
      </w:r>
      <w:r w:rsidRPr="00C37184">
        <w:rPr>
          <w:rFonts w:ascii="Arial" w:hAnsi="Arial" w:cs="Arial"/>
          <w:szCs w:val="20"/>
        </w:rPr>
        <w:t>)/Community Mental Health Service Program (CMHSP) Managed Mental Health Support and Services Contract</w:t>
      </w:r>
    </w:p>
    <w:p w:rsidR="00802DB7" w:rsidRDefault="00C64534" w:rsidP="00802DB7">
      <w:pPr>
        <w:widowControl/>
        <w:numPr>
          <w:ilvl w:val="0"/>
          <w:numId w:val="8"/>
        </w:numPr>
        <w:tabs>
          <w:tab w:val="clear" w:pos="1440"/>
          <w:tab w:val="num" w:pos="1080"/>
        </w:tabs>
        <w:autoSpaceDE/>
        <w:autoSpaceDN/>
        <w:adjustRightInd/>
        <w:ind w:left="1080" w:hanging="360"/>
        <w:rPr>
          <w:rFonts w:ascii="Arial" w:hAnsi="Arial" w:cs="Arial"/>
          <w:szCs w:val="20"/>
        </w:rPr>
      </w:pPr>
      <w:r w:rsidRPr="00802DB7">
        <w:rPr>
          <w:rFonts w:ascii="Arial" w:hAnsi="Arial" w:cs="Arial"/>
        </w:rPr>
        <w:t>Balanced Budget Act of 1997</w:t>
      </w:r>
    </w:p>
    <w:p w:rsidR="00C64534" w:rsidRPr="00802DB7" w:rsidRDefault="00C64534" w:rsidP="00802DB7">
      <w:pPr>
        <w:widowControl/>
        <w:numPr>
          <w:ilvl w:val="0"/>
          <w:numId w:val="8"/>
        </w:numPr>
        <w:tabs>
          <w:tab w:val="clear" w:pos="1440"/>
          <w:tab w:val="num" w:pos="1080"/>
        </w:tabs>
        <w:autoSpaceDE/>
        <w:autoSpaceDN/>
        <w:adjustRightInd/>
        <w:ind w:left="1080" w:hanging="360"/>
        <w:rPr>
          <w:rFonts w:ascii="Arial" w:hAnsi="Arial" w:cs="Arial"/>
          <w:szCs w:val="20"/>
        </w:rPr>
      </w:pPr>
      <w:r w:rsidRPr="00802DB7">
        <w:rPr>
          <w:rFonts w:ascii="Arial" w:hAnsi="Arial" w:cs="Arial"/>
        </w:rPr>
        <w:t>CMHCM Policy, Concerns, Complaints, Disputes, Grie</w:t>
      </w:r>
      <w:r w:rsidR="00802DB7">
        <w:rPr>
          <w:rFonts w:ascii="Arial" w:hAnsi="Arial" w:cs="Arial"/>
        </w:rPr>
        <w:t>vances and Appeals – Overview (2.100.</w:t>
      </w:r>
      <w:r w:rsidRPr="00802DB7">
        <w:rPr>
          <w:rFonts w:ascii="Arial" w:hAnsi="Arial" w:cs="Arial"/>
        </w:rPr>
        <w:t>001</w:t>
      </w:r>
      <w:r w:rsidR="00802DB7">
        <w:rPr>
          <w:rFonts w:ascii="Arial" w:hAnsi="Arial" w:cs="Arial"/>
        </w:rPr>
        <w:t>)</w:t>
      </w:r>
    </w:p>
    <w:p w:rsidR="00C64534" w:rsidRDefault="00C64534">
      <w:pPr>
        <w:pStyle w:val="Header"/>
        <w:tabs>
          <w:tab w:val="clear" w:pos="4320"/>
          <w:tab w:val="clear" w:pos="8640"/>
        </w:tabs>
        <w:rPr>
          <w:rFonts w:ascii="Arial" w:hAnsi="Arial" w:cs="Arial"/>
          <w:sz w:val="24"/>
        </w:rPr>
      </w:pPr>
    </w:p>
    <w:p w:rsidR="00C64534" w:rsidRDefault="00C64534">
      <w:pPr>
        <w:numPr>
          <w:ilvl w:val="0"/>
          <w:numId w:val="4"/>
        </w:numPr>
        <w:tabs>
          <w:tab w:val="clear" w:pos="1080"/>
          <w:tab w:val="num" w:pos="720"/>
        </w:tabs>
        <w:ind w:left="720"/>
        <w:rPr>
          <w:rFonts w:ascii="Arial" w:hAnsi="Arial" w:cs="Arial"/>
        </w:rPr>
      </w:pPr>
      <w:r>
        <w:rPr>
          <w:rFonts w:ascii="Arial" w:hAnsi="Arial" w:cs="Arial"/>
        </w:rPr>
        <w:t xml:space="preserve">POLICY:   </w:t>
      </w:r>
      <w:r>
        <w:rPr>
          <w:rFonts w:ascii="Arial" w:hAnsi="Arial" w:cs="Arial"/>
          <w:bCs/>
        </w:rPr>
        <w:t xml:space="preserve">It is the desire of Community Mental Health for </w:t>
      </w:r>
      <w:smartTag w:uri="urn:schemas-microsoft-com:office:smarttags" w:element="place">
        <w:r>
          <w:rPr>
            <w:rFonts w:ascii="Arial" w:hAnsi="Arial" w:cs="Arial"/>
            <w:bCs/>
          </w:rPr>
          <w:t>Central Michigan</w:t>
        </w:r>
      </w:smartTag>
      <w:r>
        <w:rPr>
          <w:rFonts w:ascii="Arial" w:hAnsi="Arial" w:cs="Arial"/>
          <w:bCs/>
        </w:rPr>
        <w:t xml:space="preserve"> that relationships with providers are positive and mutually supportive. Therefore, the exploration of problems and disagreements is welcomed.</w:t>
      </w:r>
      <w:r>
        <w:rPr>
          <w:rFonts w:ascii="Arial" w:hAnsi="Arial" w:cs="Arial"/>
          <w:b/>
        </w:rPr>
        <w:t xml:space="preserve"> </w:t>
      </w:r>
      <w:r>
        <w:rPr>
          <w:rFonts w:ascii="Arial" w:hAnsi="Arial" w:cs="Arial"/>
          <w:bCs/>
        </w:rPr>
        <w:t>Due process shall be provided to current and potential providers for appeals regarding decisions related to network enrollment status, clinical privileges, requests for</w:t>
      </w:r>
      <w:r>
        <w:rPr>
          <w:rFonts w:ascii="Arial" w:hAnsi="Arial" w:cs="Arial"/>
          <w:b/>
          <w:bCs/>
        </w:rPr>
        <w:t xml:space="preserve"> </w:t>
      </w:r>
      <w:r>
        <w:rPr>
          <w:rFonts w:ascii="Arial" w:hAnsi="Arial" w:cs="Arial"/>
        </w:rPr>
        <w:t>proposal (RFP) awards/denials, utilization management decisions and claims payment.</w:t>
      </w:r>
      <w:r>
        <w:rPr>
          <w:rFonts w:ascii="Arial" w:hAnsi="Arial" w:cs="Arial"/>
          <w:b/>
          <w:bCs/>
        </w:rPr>
        <w:t xml:space="preserve"> </w:t>
      </w:r>
    </w:p>
    <w:p w:rsidR="00C64534" w:rsidRDefault="00C64534">
      <w:pPr>
        <w:ind w:left="1440" w:hanging="720"/>
        <w:rPr>
          <w:rFonts w:ascii="Arial" w:hAnsi="Arial" w:cs="Arial"/>
          <w:sz w:val="24"/>
        </w:rPr>
      </w:pPr>
    </w:p>
    <w:p w:rsidR="00C64534" w:rsidRDefault="00C64534">
      <w:pPr>
        <w:numPr>
          <w:ilvl w:val="0"/>
          <w:numId w:val="5"/>
        </w:numPr>
        <w:tabs>
          <w:tab w:val="clear" w:pos="1440"/>
          <w:tab w:val="num" w:pos="720"/>
        </w:tabs>
        <w:ind w:left="720" w:hanging="720"/>
        <w:rPr>
          <w:rFonts w:ascii="Arial" w:hAnsi="Arial" w:cs="Arial"/>
        </w:rPr>
      </w:pPr>
      <w:r>
        <w:rPr>
          <w:rFonts w:ascii="Arial" w:hAnsi="Arial" w:cs="Arial"/>
        </w:rPr>
        <w:t xml:space="preserve">PROCEDURE:  </w:t>
      </w:r>
    </w:p>
    <w:p w:rsidR="00C64534" w:rsidRDefault="00C64534">
      <w:pPr>
        <w:rPr>
          <w:rFonts w:ascii="Arial" w:hAnsi="Arial" w:cs="Arial"/>
          <w:sz w:val="14"/>
        </w:rPr>
      </w:pPr>
    </w:p>
    <w:p w:rsidR="00C64534" w:rsidRDefault="00C64534">
      <w:pPr>
        <w:numPr>
          <w:ilvl w:val="0"/>
          <w:numId w:val="1"/>
        </w:numPr>
        <w:rPr>
          <w:rFonts w:ascii="Arial" w:hAnsi="Arial" w:cs="Arial"/>
        </w:rPr>
      </w:pPr>
      <w:r>
        <w:rPr>
          <w:rFonts w:ascii="Arial" w:hAnsi="Arial" w:cs="Arial"/>
        </w:rPr>
        <w:t>NOTIFICATION OF THE RIGHT TO APPEAL: The following communications to providers will include a notification of providers’ right to appeal and a description of how to file an appeal:</w:t>
      </w:r>
    </w:p>
    <w:p w:rsidR="00C64534" w:rsidRDefault="00C64534">
      <w:pPr>
        <w:ind w:left="720"/>
        <w:rPr>
          <w:rFonts w:ascii="Arial" w:hAnsi="Arial" w:cs="Arial"/>
          <w:sz w:val="6"/>
        </w:rPr>
      </w:pPr>
    </w:p>
    <w:p w:rsidR="00C64534" w:rsidRDefault="00C64534">
      <w:pPr>
        <w:numPr>
          <w:ilvl w:val="1"/>
          <w:numId w:val="1"/>
        </w:numPr>
        <w:tabs>
          <w:tab w:val="clear" w:pos="1800"/>
          <w:tab w:val="num" w:pos="1530"/>
        </w:tabs>
        <w:ind w:hanging="630"/>
        <w:rPr>
          <w:rFonts w:ascii="Arial" w:hAnsi="Arial" w:cs="Arial"/>
        </w:rPr>
      </w:pPr>
      <w:r>
        <w:rPr>
          <w:rFonts w:ascii="Arial" w:hAnsi="Arial" w:cs="Arial"/>
        </w:rPr>
        <w:t xml:space="preserve">Applications for enrollment in the provider network </w:t>
      </w:r>
    </w:p>
    <w:p w:rsidR="00C64534" w:rsidRDefault="00C64534">
      <w:pPr>
        <w:numPr>
          <w:ilvl w:val="1"/>
          <w:numId w:val="1"/>
        </w:numPr>
        <w:tabs>
          <w:tab w:val="clear" w:pos="1800"/>
          <w:tab w:val="num" w:pos="1530"/>
        </w:tabs>
        <w:ind w:hanging="630"/>
        <w:rPr>
          <w:rFonts w:ascii="Arial" w:hAnsi="Arial" w:cs="Arial"/>
        </w:rPr>
      </w:pPr>
      <w:r>
        <w:rPr>
          <w:rFonts w:ascii="Arial" w:hAnsi="Arial" w:cs="Arial"/>
        </w:rPr>
        <w:t xml:space="preserve">Applications for clinical privileges </w:t>
      </w:r>
    </w:p>
    <w:p w:rsidR="00C64534" w:rsidRDefault="00C64534">
      <w:pPr>
        <w:numPr>
          <w:ilvl w:val="1"/>
          <w:numId w:val="1"/>
        </w:numPr>
        <w:tabs>
          <w:tab w:val="clear" w:pos="1800"/>
          <w:tab w:val="num" w:pos="1530"/>
        </w:tabs>
        <w:ind w:hanging="630"/>
        <w:rPr>
          <w:rFonts w:ascii="Arial" w:hAnsi="Arial" w:cs="Arial"/>
        </w:rPr>
      </w:pPr>
      <w:r>
        <w:rPr>
          <w:rFonts w:ascii="Arial" w:hAnsi="Arial" w:cs="Arial"/>
        </w:rPr>
        <w:t>RFP bid solicitations</w:t>
      </w:r>
    </w:p>
    <w:p w:rsidR="00C64534" w:rsidRDefault="00C64534">
      <w:pPr>
        <w:numPr>
          <w:ilvl w:val="1"/>
          <w:numId w:val="1"/>
        </w:numPr>
        <w:tabs>
          <w:tab w:val="clear" w:pos="1800"/>
          <w:tab w:val="num" w:pos="1530"/>
        </w:tabs>
        <w:ind w:hanging="630"/>
        <w:rPr>
          <w:rFonts w:ascii="Arial" w:hAnsi="Arial" w:cs="Arial"/>
        </w:rPr>
      </w:pPr>
      <w:r>
        <w:rPr>
          <w:rFonts w:ascii="Arial" w:hAnsi="Arial" w:cs="Arial"/>
        </w:rPr>
        <w:t>Denial, suspension or termination of service authorization requests from providers</w:t>
      </w:r>
    </w:p>
    <w:p w:rsidR="00C64534" w:rsidRDefault="00C64534">
      <w:pPr>
        <w:numPr>
          <w:ilvl w:val="1"/>
          <w:numId w:val="1"/>
        </w:numPr>
        <w:tabs>
          <w:tab w:val="clear" w:pos="1800"/>
          <w:tab w:val="num" w:pos="1530"/>
        </w:tabs>
        <w:ind w:hanging="630"/>
        <w:rPr>
          <w:rFonts w:ascii="Arial" w:hAnsi="Arial" w:cs="Arial"/>
        </w:rPr>
      </w:pPr>
      <w:r>
        <w:rPr>
          <w:rFonts w:ascii="Arial" w:hAnsi="Arial" w:cs="Arial"/>
        </w:rPr>
        <w:t xml:space="preserve">Claims payment denial </w:t>
      </w:r>
    </w:p>
    <w:p w:rsidR="00C64534" w:rsidRDefault="00C64534">
      <w:pPr>
        <w:ind w:left="720"/>
        <w:rPr>
          <w:rFonts w:ascii="Arial" w:hAnsi="Arial" w:cs="Arial"/>
          <w:b/>
          <w:bCs/>
        </w:rPr>
      </w:pPr>
    </w:p>
    <w:p w:rsidR="00C64534" w:rsidRDefault="00C64534">
      <w:pPr>
        <w:numPr>
          <w:ilvl w:val="0"/>
          <w:numId w:val="1"/>
        </w:numPr>
        <w:rPr>
          <w:rFonts w:ascii="Arial" w:hAnsi="Arial" w:cs="Arial"/>
        </w:rPr>
      </w:pPr>
      <w:r>
        <w:rPr>
          <w:rFonts w:ascii="Arial" w:hAnsi="Arial" w:cs="Arial"/>
        </w:rPr>
        <w:t>FILING AN APPEAL</w:t>
      </w:r>
    </w:p>
    <w:p w:rsidR="00C64534" w:rsidRDefault="00C64534">
      <w:pPr>
        <w:ind w:left="720"/>
        <w:rPr>
          <w:rFonts w:ascii="Arial" w:hAnsi="Arial" w:cs="Arial"/>
          <w:sz w:val="6"/>
        </w:rPr>
      </w:pPr>
    </w:p>
    <w:p w:rsidR="00C64534" w:rsidRDefault="00C64534">
      <w:pPr>
        <w:numPr>
          <w:ilvl w:val="1"/>
          <w:numId w:val="1"/>
        </w:numPr>
        <w:tabs>
          <w:tab w:val="clear" w:pos="1800"/>
          <w:tab w:val="num" w:pos="1530"/>
        </w:tabs>
        <w:ind w:left="1530"/>
        <w:rPr>
          <w:rFonts w:ascii="Arial" w:hAnsi="Arial" w:cs="Arial"/>
        </w:rPr>
      </w:pPr>
      <w:r>
        <w:rPr>
          <w:rFonts w:ascii="Arial" w:hAnsi="Arial" w:cs="Arial"/>
        </w:rPr>
        <w:t>Providers are asked to communicate concerns and grievances with the appropriate CMHCM staff first, before making a formal appeal. If providers are still unable to reach a satisfactory resolution, they may file an appeal in writing.</w:t>
      </w:r>
    </w:p>
    <w:p w:rsidR="00C64534" w:rsidRDefault="00C64534">
      <w:pPr>
        <w:numPr>
          <w:ilvl w:val="1"/>
          <w:numId w:val="1"/>
        </w:numPr>
        <w:tabs>
          <w:tab w:val="clear" w:pos="1800"/>
          <w:tab w:val="num" w:pos="1530"/>
        </w:tabs>
        <w:ind w:left="1530"/>
        <w:rPr>
          <w:rFonts w:ascii="Arial" w:hAnsi="Arial" w:cs="Arial"/>
        </w:rPr>
      </w:pPr>
      <w:r>
        <w:rPr>
          <w:rFonts w:ascii="Arial" w:hAnsi="Arial" w:cs="Arial"/>
        </w:rPr>
        <w:t xml:space="preserve">Formal appeals must be filed within </w:t>
      </w:r>
      <w:r w:rsidR="002349F4">
        <w:rPr>
          <w:rFonts w:ascii="Arial" w:hAnsi="Arial" w:cs="Arial"/>
        </w:rPr>
        <w:t>thirty (</w:t>
      </w:r>
      <w:r>
        <w:rPr>
          <w:rFonts w:ascii="Arial" w:hAnsi="Arial" w:cs="Arial"/>
        </w:rPr>
        <w:t>30</w:t>
      </w:r>
      <w:r w:rsidR="002349F4">
        <w:rPr>
          <w:rFonts w:ascii="Arial" w:hAnsi="Arial" w:cs="Arial"/>
        </w:rPr>
        <w:t>)</w:t>
      </w:r>
      <w:r>
        <w:rPr>
          <w:rFonts w:ascii="Arial" w:hAnsi="Arial" w:cs="Arial"/>
        </w:rPr>
        <w:t xml:space="preserve"> calendar days of the date that the issue in contention occurred. The following dispute types shall be sent to the corresponding CMHCM staff:</w:t>
      </w:r>
    </w:p>
    <w:p w:rsidR="00C64534" w:rsidRDefault="00C64534">
      <w:pPr>
        <w:ind w:left="1440"/>
        <w:rPr>
          <w:rFonts w:ascii="Arial" w:hAnsi="Arial" w:cs="Arial"/>
          <w:sz w:val="12"/>
        </w:rPr>
      </w:pPr>
    </w:p>
    <w:p w:rsidR="00C64534" w:rsidRDefault="00C64534">
      <w:pPr>
        <w:numPr>
          <w:ilvl w:val="2"/>
          <w:numId w:val="6"/>
        </w:numPr>
        <w:tabs>
          <w:tab w:val="left" w:pos="5580"/>
        </w:tabs>
        <w:rPr>
          <w:rFonts w:ascii="Arial" w:hAnsi="Arial" w:cs="Arial"/>
        </w:rPr>
      </w:pPr>
      <w:r>
        <w:rPr>
          <w:rFonts w:ascii="Arial" w:hAnsi="Arial" w:cs="Arial"/>
        </w:rPr>
        <w:t>Network enrollment status</w:t>
      </w:r>
      <w:r>
        <w:rPr>
          <w:rFonts w:ascii="Arial" w:hAnsi="Arial" w:cs="Arial"/>
        </w:rPr>
        <w:tab/>
        <w:t>Provider Network Manager</w:t>
      </w:r>
    </w:p>
    <w:p w:rsidR="00C64534" w:rsidRDefault="00C64534">
      <w:pPr>
        <w:numPr>
          <w:ilvl w:val="2"/>
          <w:numId w:val="6"/>
        </w:numPr>
        <w:tabs>
          <w:tab w:val="left" w:pos="5580"/>
        </w:tabs>
        <w:rPr>
          <w:rFonts w:ascii="Arial" w:hAnsi="Arial" w:cs="Arial"/>
        </w:rPr>
      </w:pPr>
      <w:r>
        <w:rPr>
          <w:rFonts w:ascii="Arial" w:hAnsi="Arial" w:cs="Arial"/>
        </w:rPr>
        <w:t>Clinical privileges</w:t>
      </w:r>
      <w:r>
        <w:rPr>
          <w:rFonts w:ascii="Arial" w:hAnsi="Arial" w:cs="Arial"/>
        </w:rPr>
        <w:tab/>
        <w:t>Credentialing Committee</w:t>
      </w:r>
      <w:r>
        <w:rPr>
          <w:rFonts w:ascii="Arial" w:hAnsi="Arial" w:cs="Arial"/>
        </w:rPr>
        <w:tab/>
      </w:r>
    </w:p>
    <w:p w:rsidR="00C64534" w:rsidRDefault="00C64534">
      <w:pPr>
        <w:numPr>
          <w:ilvl w:val="2"/>
          <w:numId w:val="6"/>
        </w:numPr>
        <w:tabs>
          <w:tab w:val="left" w:pos="5580"/>
        </w:tabs>
        <w:rPr>
          <w:rFonts w:ascii="Arial" w:hAnsi="Arial" w:cs="Arial"/>
        </w:rPr>
      </w:pPr>
      <w:r>
        <w:rPr>
          <w:rFonts w:ascii="Arial" w:hAnsi="Arial" w:cs="Arial"/>
        </w:rPr>
        <w:t>Requests for Proposals (RFP’S)</w:t>
      </w:r>
      <w:r>
        <w:rPr>
          <w:rFonts w:ascii="Arial" w:hAnsi="Arial" w:cs="Arial"/>
        </w:rPr>
        <w:tab/>
        <w:t>Provider Network Manager</w:t>
      </w:r>
    </w:p>
    <w:p w:rsidR="00C64534" w:rsidRDefault="00C64534">
      <w:pPr>
        <w:numPr>
          <w:ilvl w:val="2"/>
          <w:numId w:val="6"/>
        </w:numPr>
        <w:tabs>
          <w:tab w:val="left" w:pos="5580"/>
        </w:tabs>
        <w:rPr>
          <w:rFonts w:ascii="Arial" w:hAnsi="Arial" w:cs="Arial"/>
        </w:rPr>
      </w:pPr>
      <w:r>
        <w:rPr>
          <w:rFonts w:ascii="Arial" w:hAnsi="Arial" w:cs="Arial"/>
        </w:rPr>
        <w:t>Utilization Management decisions</w:t>
      </w:r>
      <w:r>
        <w:rPr>
          <w:rFonts w:ascii="Arial" w:hAnsi="Arial" w:cs="Arial"/>
        </w:rPr>
        <w:tab/>
      </w:r>
      <w:r w:rsidR="00140D85">
        <w:rPr>
          <w:rFonts w:ascii="Arial" w:hAnsi="Arial" w:cs="Arial"/>
        </w:rPr>
        <w:t>Chief Clinical Officer</w:t>
      </w:r>
      <w:r>
        <w:rPr>
          <w:rFonts w:ascii="Arial" w:hAnsi="Arial" w:cs="Arial"/>
        </w:rPr>
        <w:t xml:space="preserve"> of applicable County</w:t>
      </w:r>
    </w:p>
    <w:p w:rsidR="00C64534" w:rsidRDefault="00C64534">
      <w:pPr>
        <w:numPr>
          <w:ilvl w:val="2"/>
          <w:numId w:val="6"/>
        </w:numPr>
        <w:tabs>
          <w:tab w:val="left" w:pos="5580"/>
        </w:tabs>
        <w:rPr>
          <w:rFonts w:ascii="Arial" w:hAnsi="Arial" w:cs="Arial"/>
          <w:b/>
          <w:bCs/>
        </w:rPr>
      </w:pPr>
      <w:r>
        <w:rPr>
          <w:rFonts w:ascii="Arial" w:hAnsi="Arial" w:cs="Arial"/>
        </w:rPr>
        <w:t>Claims payment</w:t>
      </w:r>
      <w:r>
        <w:rPr>
          <w:rFonts w:ascii="Arial" w:hAnsi="Arial" w:cs="Arial"/>
        </w:rPr>
        <w:tab/>
      </w:r>
      <w:r w:rsidR="002349F4">
        <w:rPr>
          <w:rFonts w:ascii="Arial" w:hAnsi="Arial" w:cs="Arial"/>
        </w:rPr>
        <w:t xml:space="preserve">Chief </w:t>
      </w:r>
      <w:r>
        <w:rPr>
          <w:rFonts w:ascii="Arial" w:hAnsi="Arial" w:cs="Arial"/>
        </w:rPr>
        <w:t>Financ</w:t>
      </w:r>
      <w:r w:rsidR="002349F4">
        <w:rPr>
          <w:rFonts w:ascii="Arial" w:hAnsi="Arial" w:cs="Arial"/>
        </w:rPr>
        <w:t>ial Officer</w:t>
      </w:r>
      <w:r>
        <w:rPr>
          <w:rFonts w:ascii="Arial" w:hAnsi="Arial" w:cs="Arial"/>
        </w:rPr>
        <w:tab/>
      </w:r>
    </w:p>
    <w:p w:rsidR="00C64534" w:rsidRDefault="00C64534">
      <w:pPr>
        <w:ind w:left="1440" w:hanging="720"/>
        <w:rPr>
          <w:rFonts w:ascii="Arial" w:hAnsi="Arial" w:cs="Arial"/>
          <w:sz w:val="16"/>
        </w:rPr>
      </w:pPr>
    </w:p>
    <w:p w:rsidR="00C64534" w:rsidRDefault="00C64534">
      <w:pPr>
        <w:numPr>
          <w:ilvl w:val="1"/>
          <w:numId w:val="1"/>
        </w:numPr>
        <w:tabs>
          <w:tab w:val="clear" w:pos="1800"/>
          <w:tab w:val="num" w:pos="1530"/>
          <w:tab w:val="num" w:pos="2070"/>
        </w:tabs>
        <w:ind w:left="1530"/>
        <w:rPr>
          <w:rFonts w:ascii="Arial" w:hAnsi="Arial" w:cs="Arial"/>
        </w:rPr>
      </w:pPr>
      <w:r>
        <w:rPr>
          <w:rFonts w:ascii="Arial" w:hAnsi="Arial" w:cs="Arial"/>
        </w:rPr>
        <w:t xml:space="preserve">Within </w:t>
      </w:r>
      <w:r w:rsidR="002349F4">
        <w:rPr>
          <w:rFonts w:ascii="Arial" w:hAnsi="Arial" w:cs="Arial"/>
        </w:rPr>
        <w:t>thirty (</w:t>
      </w:r>
      <w:r>
        <w:rPr>
          <w:rFonts w:ascii="Arial" w:hAnsi="Arial" w:cs="Arial"/>
        </w:rPr>
        <w:t>30</w:t>
      </w:r>
      <w:r w:rsidR="002349F4">
        <w:rPr>
          <w:rFonts w:ascii="Arial" w:hAnsi="Arial" w:cs="Arial"/>
        </w:rPr>
        <w:t>)</w:t>
      </w:r>
      <w:r>
        <w:rPr>
          <w:rFonts w:ascii="Arial" w:hAnsi="Arial" w:cs="Arial"/>
        </w:rPr>
        <w:t xml:space="preserve"> calendar days of receipt of the appeal, the designated staff will review the dispute and notify the provider in writing of the resolution.</w:t>
      </w:r>
    </w:p>
    <w:p w:rsidR="00C64534" w:rsidRDefault="00C64534">
      <w:pPr>
        <w:ind w:left="1080"/>
        <w:rPr>
          <w:rFonts w:ascii="Arial" w:hAnsi="Arial" w:cs="Arial"/>
        </w:rPr>
      </w:pPr>
    </w:p>
    <w:p w:rsidR="00C64534" w:rsidRDefault="00EC1D67">
      <w:pPr>
        <w:numPr>
          <w:ilvl w:val="0"/>
          <w:numId w:val="1"/>
        </w:numPr>
        <w:tabs>
          <w:tab w:val="num" w:pos="1710"/>
        </w:tabs>
        <w:rPr>
          <w:rFonts w:ascii="Arial" w:hAnsi="Arial" w:cs="Arial"/>
        </w:rPr>
      </w:pPr>
      <w:r>
        <w:rPr>
          <w:rFonts w:ascii="Arial" w:hAnsi="Arial" w:cs="Arial"/>
        </w:rPr>
        <w:br w:type="page"/>
      </w:r>
      <w:r w:rsidR="00C64534">
        <w:rPr>
          <w:rFonts w:ascii="Arial" w:hAnsi="Arial" w:cs="Arial"/>
        </w:rPr>
        <w:lastRenderedPageBreak/>
        <w:t xml:space="preserve">If the issue is not satisfactorily resolved, the provider may, within </w:t>
      </w:r>
      <w:r w:rsidR="002349F4">
        <w:rPr>
          <w:rFonts w:ascii="Arial" w:hAnsi="Arial" w:cs="Arial"/>
        </w:rPr>
        <w:t>ten (</w:t>
      </w:r>
      <w:r w:rsidR="00C64534">
        <w:rPr>
          <w:rFonts w:ascii="Arial" w:hAnsi="Arial" w:cs="Arial"/>
        </w:rPr>
        <w:t>10</w:t>
      </w:r>
      <w:r w:rsidR="002349F4">
        <w:rPr>
          <w:rFonts w:ascii="Arial" w:hAnsi="Arial" w:cs="Arial"/>
        </w:rPr>
        <w:t>)</w:t>
      </w:r>
      <w:r w:rsidR="00C64534">
        <w:rPr>
          <w:rFonts w:ascii="Arial" w:hAnsi="Arial" w:cs="Arial"/>
        </w:rPr>
        <w:t xml:space="preserve"> business days, file an appeal with the CMHCM Executive Director</w:t>
      </w:r>
      <w:r w:rsidR="00676580">
        <w:rPr>
          <w:rFonts w:ascii="Arial" w:hAnsi="Arial" w:cs="Arial"/>
        </w:rPr>
        <w:t xml:space="preserve"> </w:t>
      </w:r>
      <w:r w:rsidR="000E7E8B">
        <w:rPr>
          <w:rFonts w:ascii="Arial" w:hAnsi="Arial" w:cs="Arial"/>
        </w:rPr>
        <w:t>and/or Mid-S</w:t>
      </w:r>
      <w:r w:rsidR="00676580">
        <w:rPr>
          <w:rFonts w:ascii="Arial" w:hAnsi="Arial" w:cs="Arial"/>
        </w:rPr>
        <w:t>tate Health Network.</w:t>
      </w:r>
    </w:p>
    <w:p w:rsidR="00C64534" w:rsidRDefault="00C64534" w:rsidP="00CF4B95">
      <w:pPr>
        <w:tabs>
          <w:tab w:val="num" w:pos="1710"/>
        </w:tabs>
        <w:ind w:left="720"/>
        <w:rPr>
          <w:rFonts w:ascii="Arial" w:hAnsi="Arial" w:cs="Arial"/>
          <w:sz w:val="6"/>
        </w:rPr>
      </w:pPr>
    </w:p>
    <w:p w:rsidR="00C64534" w:rsidRDefault="00C64534">
      <w:pPr>
        <w:pStyle w:val="BodyTextIndent"/>
        <w:numPr>
          <w:ilvl w:val="3"/>
          <w:numId w:val="7"/>
        </w:numPr>
        <w:tabs>
          <w:tab w:val="clear" w:pos="-1440"/>
          <w:tab w:val="clear" w:pos="2880"/>
          <w:tab w:val="num" w:pos="1620"/>
        </w:tabs>
        <w:ind w:left="1620"/>
      </w:pPr>
      <w:r>
        <w:t xml:space="preserve">The Executive Director will notify the grievant of the determination of the appeal within </w:t>
      </w:r>
      <w:r w:rsidR="002349F4">
        <w:t>ten (</w:t>
      </w:r>
      <w:r>
        <w:t>10</w:t>
      </w:r>
      <w:r w:rsidR="002349F4">
        <w:t>)</w:t>
      </w:r>
      <w:r>
        <w:t xml:space="preserve"> business days </w:t>
      </w:r>
      <w:r>
        <w:rPr>
          <w:rFonts w:ascii="Arial (W1)" w:hAnsi="Arial (W1)"/>
        </w:rPr>
        <w:t>upon receiving the request for appeal</w:t>
      </w:r>
      <w:r>
        <w:t>.</w:t>
      </w:r>
    </w:p>
    <w:p w:rsidR="00C64534" w:rsidRDefault="00C64534">
      <w:pPr>
        <w:numPr>
          <w:ilvl w:val="3"/>
          <w:numId w:val="7"/>
        </w:numPr>
        <w:tabs>
          <w:tab w:val="clear" w:pos="2880"/>
          <w:tab w:val="num" w:pos="1620"/>
        </w:tabs>
        <w:ind w:left="1620"/>
        <w:rPr>
          <w:rFonts w:ascii="Arial" w:hAnsi="Arial" w:cs="Arial"/>
        </w:rPr>
      </w:pPr>
      <w:r>
        <w:rPr>
          <w:rFonts w:ascii="Arial" w:hAnsi="Arial" w:cs="Arial"/>
        </w:rPr>
        <w:t xml:space="preserve">If the grievant is not satisfied with the Executive Director's determination, </w:t>
      </w:r>
      <w:r w:rsidR="009637CF">
        <w:rPr>
          <w:rFonts w:ascii="Arial" w:hAnsi="Arial" w:cs="Arial"/>
        </w:rPr>
        <w:t>they</w:t>
      </w:r>
      <w:r>
        <w:rPr>
          <w:rFonts w:ascii="Arial" w:hAnsi="Arial" w:cs="Arial"/>
        </w:rPr>
        <w:t xml:space="preserve"> may further appeal to the Board of Directors. The Board may choose to designate select members of the Board to act as an Appeals Committee.</w:t>
      </w:r>
    </w:p>
    <w:p w:rsidR="00C64534" w:rsidRDefault="00C64534">
      <w:pPr>
        <w:numPr>
          <w:ilvl w:val="3"/>
          <w:numId w:val="7"/>
        </w:numPr>
        <w:tabs>
          <w:tab w:val="clear" w:pos="2880"/>
          <w:tab w:val="num" w:pos="1620"/>
        </w:tabs>
        <w:ind w:left="1620"/>
        <w:rPr>
          <w:rFonts w:ascii="Arial" w:hAnsi="Arial" w:cs="Arial"/>
        </w:rPr>
      </w:pPr>
      <w:r>
        <w:rPr>
          <w:rFonts w:ascii="Arial" w:hAnsi="Arial" w:cs="Arial"/>
        </w:rPr>
        <w:t>The request for reconsideration of the Executive Director's decision shall be submitted in writing by the grievant to the Board within ten (10) business days of the Executive Director's denial notice.</w:t>
      </w:r>
    </w:p>
    <w:p w:rsidR="00C64534" w:rsidRDefault="00C64534">
      <w:pPr>
        <w:tabs>
          <w:tab w:val="left" w:pos="1800"/>
        </w:tabs>
        <w:ind w:left="1800" w:hanging="360"/>
        <w:rPr>
          <w:rFonts w:ascii="Arial" w:hAnsi="Arial" w:cs="Arial"/>
          <w:sz w:val="6"/>
        </w:rPr>
      </w:pPr>
    </w:p>
    <w:p w:rsidR="00C64534" w:rsidRDefault="00C64534">
      <w:pPr>
        <w:tabs>
          <w:tab w:val="left" w:pos="2160"/>
        </w:tabs>
        <w:ind w:left="2160" w:hanging="360"/>
        <w:rPr>
          <w:rFonts w:ascii="Arial" w:hAnsi="Arial" w:cs="Arial"/>
        </w:rPr>
      </w:pPr>
      <w:r>
        <w:rPr>
          <w:rFonts w:ascii="Arial" w:hAnsi="Arial" w:cs="Arial"/>
        </w:rPr>
        <w:t>a.</w:t>
      </w:r>
      <w:r>
        <w:rPr>
          <w:rFonts w:ascii="Arial" w:hAnsi="Arial" w:cs="Arial"/>
        </w:rPr>
        <w:tab/>
        <w:t>Both the provider and the agency may be represented by advocates at a meeting with the Board or Appeals Committee.</w:t>
      </w:r>
    </w:p>
    <w:p w:rsidR="00C64534" w:rsidRDefault="00C64534">
      <w:pPr>
        <w:tabs>
          <w:tab w:val="left" w:pos="2160"/>
        </w:tabs>
        <w:ind w:left="2160" w:hanging="360"/>
        <w:rPr>
          <w:rFonts w:ascii="Arial" w:hAnsi="Arial" w:cs="Arial"/>
        </w:rPr>
      </w:pPr>
      <w:r>
        <w:rPr>
          <w:rFonts w:ascii="Arial" w:hAnsi="Arial" w:cs="Arial"/>
        </w:rPr>
        <w:t>b.</w:t>
      </w:r>
      <w:r>
        <w:rPr>
          <w:rFonts w:ascii="Arial" w:hAnsi="Arial" w:cs="Arial"/>
        </w:rPr>
        <w:tab/>
        <w:t>Both the provider and the agency may present a reasonable number of witnesses at this meeting.</w:t>
      </w:r>
    </w:p>
    <w:p w:rsidR="00C64534" w:rsidRDefault="00C64534">
      <w:pPr>
        <w:tabs>
          <w:tab w:val="left" w:pos="2160"/>
        </w:tabs>
        <w:ind w:left="2160" w:hanging="360"/>
        <w:rPr>
          <w:rFonts w:ascii="Arial" w:hAnsi="Arial" w:cs="Arial"/>
        </w:rPr>
      </w:pPr>
      <w:r>
        <w:rPr>
          <w:rFonts w:ascii="Arial" w:hAnsi="Arial" w:cs="Arial"/>
        </w:rPr>
        <w:t>c.</w:t>
      </w:r>
      <w:r>
        <w:rPr>
          <w:rFonts w:ascii="Arial" w:hAnsi="Arial" w:cs="Arial"/>
        </w:rPr>
        <w:tab/>
        <w:t>Both the provider and the agency may file written documents at this meeting.</w:t>
      </w:r>
    </w:p>
    <w:p w:rsidR="00C64534" w:rsidRDefault="00C64534">
      <w:pPr>
        <w:tabs>
          <w:tab w:val="left" w:pos="2160"/>
        </w:tabs>
        <w:ind w:left="2160" w:hanging="360"/>
        <w:rPr>
          <w:rFonts w:ascii="Arial" w:hAnsi="Arial" w:cs="Arial"/>
        </w:rPr>
      </w:pPr>
      <w:r>
        <w:rPr>
          <w:rFonts w:ascii="Arial" w:hAnsi="Arial" w:cs="Arial"/>
        </w:rPr>
        <w:t>d.</w:t>
      </w:r>
      <w:r>
        <w:rPr>
          <w:rFonts w:ascii="Arial" w:hAnsi="Arial" w:cs="Arial"/>
        </w:rPr>
        <w:tab/>
        <w:t>The Board or Appeals Committee shall review the evidence presented and shall be solely responsible for determining the outcome of the appeal. Notice of the Board's determination shall be provided to the grievant within ten (10) business</w:t>
      </w:r>
      <w:r>
        <w:rPr>
          <w:rFonts w:ascii="Arial" w:hAnsi="Arial" w:cs="Arial"/>
          <w:b/>
          <w:bCs/>
        </w:rPr>
        <w:t xml:space="preserve"> </w:t>
      </w:r>
      <w:r>
        <w:rPr>
          <w:rFonts w:ascii="Arial" w:hAnsi="Arial" w:cs="Arial"/>
        </w:rPr>
        <w:t>days of the review meeting.</w:t>
      </w:r>
    </w:p>
    <w:p w:rsidR="00C64534" w:rsidRDefault="00C64534">
      <w:pPr>
        <w:tabs>
          <w:tab w:val="left" w:pos="2160"/>
        </w:tabs>
        <w:ind w:left="2160" w:hanging="360"/>
        <w:rPr>
          <w:rFonts w:ascii="Arial" w:hAnsi="Arial" w:cs="Arial"/>
        </w:rPr>
      </w:pPr>
      <w:r>
        <w:rPr>
          <w:rFonts w:ascii="Arial" w:hAnsi="Arial" w:cs="Arial"/>
        </w:rPr>
        <w:t>e.</w:t>
      </w:r>
      <w:r>
        <w:rPr>
          <w:rFonts w:ascii="Arial" w:hAnsi="Arial" w:cs="Arial"/>
        </w:rPr>
        <w:tab/>
        <w:t>The decision of the Board or Appeals Committee is final.</w:t>
      </w:r>
    </w:p>
    <w:p w:rsidR="00C64534" w:rsidRDefault="00C64534">
      <w:pPr>
        <w:tabs>
          <w:tab w:val="left" w:pos="2430"/>
        </w:tabs>
        <w:ind w:left="2430" w:hanging="450"/>
        <w:rPr>
          <w:rFonts w:ascii="Arial" w:hAnsi="Arial" w:cs="Arial"/>
        </w:rPr>
      </w:pPr>
    </w:p>
    <w:p w:rsidR="00C64534" w:rsidRDefault="00C64534">
      <w:pPr>
        <w:numPr>
          <w:ilvl w:val="0"/>
          <w:numId w:val="1"/>
        </w:numPr>
        <w:rPr>
          <w:rFonts w:ascii="Arial" w:hAnsi="Arial" w:cs="Arial"/>
        </w:rPr>
      </w:pPr>
      <w:r>
        <w:rPr>
          <w:rFonts w:ascii="Arial" w:hAnsi="Arial" w:cs="Arial"/>
        </w:rPr>
        <w:t>Non-Appealable Issues:</w:t>
      </w:r>
    </w:p>
    <w:p w:rsidR="00C64534" w:rsidRDefault="00C64534">
      <w:pPr>
        <w:tabs>
          <w:tab w:val="left" w:pos="1080"/>
        </w:tabs>
        <w:ind w:left="720"/>
        <w:rPr>
          <w:rFonts w:ascii="Arial" w:hAnsi="Arial" w:cs="Arial"/>
          <w:sz w:val="6"/>
        </w:rPr>
      </w:pPr>
    </w:p>
    <w:p w:rsidR="00C64534" w:rsidRDefault="00C64534">
      <w:pPr>
        <w:ind w:left="1620" w:hanging="360"/>
        <w:rPr>
          <w:rFonts w:ascii="Arial" w:hAnsi="Arial" w:cs="Arial"/>
        </w:rPr>
      </w:pPr>
      <w:r>
        <w:rPr>
          <w:rFonts w:ascii="Arial" w:hAnsi="Arial" w:cs="Arial"/>
        </w:rPr>
        <w:t>1.</w:t>
      </w:r>
      <w:r>
        <w:rPr>
          <w:rFonts w:ascii="Arial" w:hAnsi="Arial" w:cs="Arial"/>
        </w:rPr>
        <w:tab/>
        <w:t xml:space="preserve">   To maintain the integrity of the purchasing process and to ensure that the agency is able to receive purchased services without undue delay, appeals requesting waiver of the following omissions and requirements cannot be granted:</w:t>
      </w:r>
    </w:p>
    <w:p w:rsidR="00C64534" w:rsidRDefault="00C64534">
      <w:pPr>
        <w:rPr>
          <w:rFonts w:ascii="Arial" w:hAnsi="Arial" w:cs="Arial"/>
          <w:sz w:val="6"/>
        </w:rPr>
      </w:pPr>
    </w:p>
    <w:p w:rsidR="00C64534" w:rsidRDefault="00C64534">
      <w:pPr>
        <w:ind w:left="1800"/>
        <w:rPr>
          <w:rFonts w:ascii="Arial" w:hAnsi="Arial" w:cs="Arial"/>
        </w:rPr>
      </w:pPr>
      <w:r>
        <w:rPr>
          <w:rFonts w:ascii="Arial" w:hAnsi="Arial" w:cs="Arial"/>
        </w:rPr>
        <w:t>a.</w:t>
      </w:r>
      <w:r>
        <w:rPr>
          <w:rFonts w:ascii="Arial" w:hAnsi="Arial" w:cs="Arial"/>
        </w:rPr>
        <w:tab/>
        <w:t>Failure to sign a bid.</w:t>
      </w:r>
    </w:p>
    <w:p w:rsidR="00C64534" w:rsidRDefault="00C64534">
      <w:pPr>
        <w:ind w:left="2160" w:hanging="360"/>
        <w:rPr>
          <w:rFonts w:ascii="Arial" w:hAnsi="Arial" w:cs="Arial"/>
        </w:rPr>
      </w:pPr>
      <w:r>
        <w:rPr>
          <w:rFonts w:ascii="Arial" w:hAnsi="Arial" w:cs="Arial"/>
        </w:rPr>
        <w:t>b.</w:t>
      </w:r>
      <w:r>
        <w:rPr>
          <w:rFonts w:ascii="Arial" w:hAnsi="Arial" w:cs="Arial"/>
        </w:rPr>
        <w:tab/>
        <w:t>Failure to submit the bid to the agency as specified in the cover letter by the due date and time.</w:t>
      </w:r>
    </w:p>
    <w:p w:rsidR="00C64534" w:rsidRDefault="00C64534">
      <w:pPr>
        <w:ind w:left="1800"/>
        <w:rPr>
          <w:rFonts w:ascii="Arial" w:hAnsi="Arial" w:cs="Arial"/>
        </w:rPr>
      </w:pPr>
      <w:r>
        <w:rPr>
          <w:rFonts w:ascii="Arial" w:hAnsi="Arial" w:cs="Arial"/>
        </w:rPr>
        <w:t>c.</w:t>
      </w:r>
      <w:r>
        <w:rPr>
          <w:rFonts w:ascii="Arial" w:hAnsi="Arial" w:cs="Arial"/>
        </w:rPr>
        <w:tab/>
        <w:t>Failure to provide required documents by the bid deadline or other specified time.</w:t>
      </w:r>
    </w:p>
    <w:p w:rsidR="00C64534" w:rsidRDefault="00C64534">
      <w:pPr>
        <w:ind w:left="2160" w:hanging="360"/>
        <w:rPr>
          <w:rFonts w:ascii="Arial" w:hAnsi="Arial" w:cs="Arial"/>
        </w:rPr>
      </w:pPr>
      <w:r>
        <w:rPr>
          <w:rFonts w:ascii="Arial" w:hAnsi="Arial" w:cs="Arial"/>
        </w:rPr>
        <w:t>d.</w:t>
      </w:r>
      <w:r>
        <w:rPr>
          <w:rFonts w:ascii="Arial" w:hAnsi="Arial" w:cs="Arial"/>
        </w:rPr>
        <w:tab/>
        <w:t xml:space="preserve">Failure to submit an appeal within thirty </w:t>
      </w:r>
      <w:r w:rsidR="002349F4">
        <w:rPr>
          <w:rFonts w:ascii="Arial" w:hAnsi="Arial" w:cs="Arial"/>
        </w:rPr>
        <w:t xml:space="preserve">(30) </w:t>
      </w:r>
      <w:r>
        <w:rPr>
          <w:rFonts w:ascii="Arial" w:hAnsi="Arial" w:cs="Arial"/>
        </w:rPr>
        <w:t>calendar days of the date of the notice of award.</w:t>
      </w:r>
    </w:p>
    <w:p w:rsidR="00C64534" w:rsidRDefault="00C64534">
      <w:pPr>
        <w:ind w:left="2160" w:hanging="360"/>
        <w:rPr>
          <w:rFonts w:ascii="Arial" w:hAnsi="Arial" w:cs="Arial"/>
          <w:sz w:val="4"/>
        </w:rPr>
      </w:pPr>
    </w:p>
    <w:p w:rsidR="00C64534" w:rsidRDefault="00C64534">
      <w:pPr>
        <w:pStyle w:val="BodyTextIndent"/>
        <w:tabs>
          <w:tab w:val="clear" w:pos="-1440"/>
          <w:tab w:val="left" w:pos="1620"/>
        </w:tabs>
        <w:ind w:left="1620" w:hanging="360"/>
      </w:pPr>
      <w:r>
        <w:t>2.</w:t>
      </w:r>
      <w:r>
        <w:tab/>
        <w:t>If there are no acceptable bids, these requirements may be waived at the discretion of the agency. In fairness to bidders who meet specifications</w:t>
      </w:r>
      <w:bookmarkStart w:id="0" w:name="QuickMark"/>
      <w:bookmarkEnd w:id="0"/>
      <w:r>
        <w:t xml:space="preserve"> and to prevent delays in purchasing, the agency will not withdraw a recommendation to award or re-evaluate bids when an appeal maintains that the RFP specifications were unnecessarily restrictive or that a bid exceeding specifications provided a better value than a lower bid meeting specifications.</w:t>
      </w:r>
      <w:bookmarkStart w:id="1" w:name="_GoBack"/>
      <w:bookmarkEnd w:id="1"/>
    </w:p>
    <w:p w:rsidR="00C64534" w:rsidRDefault="00C64534">
      <w:pPr>
        <w:tabs>
          <w:tab w:val="left" w:pos="1620"/>
        </w:tabs>
        <w:ind w:left="1620" w:hanging="360"/>
        <w:rPr>
          <w:rFonts w:ascii="Arial" w:hAnsi="Arial" w:cs="Arial"/>
        </w:rPr>
      </w:pPr>
      <w:r>
        <w:rPr>
          <w:rFonts w:ascii="Arial" w:hAnsi="Arial" w:cs="Arial"/>
        </w:rPr>
        <w:t>3.</w:t>
      </w:r>
      <w:r>
        <w:rPr>
          <w:rFonts w:ascii="Arial" w:hAnsi="Arial" w:cs="Arial"/>
        </w:rPr>
        <w:tab/>
        <w:t>A bidder must raise concerns about RFP specifications at least seven</w:t>
      </w:r>
      <w:r w:rsidR="002349F4">
        <w:rPr>
          <w:rFonts w:ascii="Arial" w:hAnsi="Arial" w:cs="Arial"/>
        </w:rPr>
        <w:t xml:space="preserve"> (7)</w:t>
      </w:r>
      <w:r>
        <w:rPr>
          <w:rFonts w:ascii="Arial" w:hAnsi="Arial" w:cs="Arial"/>
        </w:rPr>
        <w:t xml:space="preserve"> days prior to the bid due date.</w:t>
      </w:r>
    </w:p>
    <w:p w:rsidR="00C64534" w:rsidRDefault="00C64534">
      <w:pPr>
        <w:rPr>
          <w:rFonts w:ascii="Arial" w:hAnsi="Arial" w:cs="Arial"/>
        </w:rPr>
      </w:pPr>
    </w:p>
    <w:p w:rsidR="00C64534" w:rsidRDefault="00802DB7" w:rsidP="00802DB7">
      <w:pPr>
        <w:rPr>
          <w:rFonts w:ascii="Arial" w:hAnsi="Arial" w:cs="Arial"/>
          <w:sz w:val="16"/>
        </w:rPr>
      </w:pPr>
      <w:r>
        <w:rPr>
          <w:rFonts w:ascii="Arial" w:hAnsi="Arial" w:cs="Arial"/>
          <w:sz w:val="16"/>
        </w:rPr>
        <w:t xml:space="preserve">Date </w:t>
      </w:r>
      <w:r w:rsidR="00C64534">
        <w:rPr>
          <w:rFonts w:ascii="Arial" w:hAnsi="Arial" w:cs="Arial"/>
          <w:sz w:val="16"/>
        </w:rPr>
        <w:t>Ap</w:t>
      </w:r>
      <w:r>
        <w:rPr>
          <w:rFonts w:ascii="Arial" w:hAnsi="Arial" w:cs="Arial"/>
          <w:sz w:val="16"/>
        </w:rPr>
        <w:t xml:space="preserve">proved: </w:t>
      </w:r>
      <w:r w:rsidR="00C64534">
        <w:rPr>
          <w:rFonts w:ascii="Arial" w:hAnsi="Arial" w:cs="Arial"/>
          <w:sz w:val="16"/>
        </w:rPr>
        <w:t>10/01/01</w:t>
      </w:r>
    </w:p>
    <w:p w:rsidR="00C64534" w:rsidRDefault="00802DB7">
      <w:pPr>
        <w:tabs>
          <w:tab w:val="right" w:pos="1440"/>
        </w:tabs>
        <w:rPr>
          <w:rFonts w:ascii="Arial" w:hAnsi="Arial" w:cs="Arial"/>
          <w:sz w:val="16"/>
        </w:rPr>
      </w:pPr>
      <w:r>
        <w:rPr>
          <w:rFonts w:ascii="Arial" w:hAnsi="Arial" w:cs="Arial"/>
          <w:sz w:val="16"/>
        </w:rPr>
        <w:t xml:space="preserve">Revised: </w:t>
      </w:r>
      <w:r w:rsidR="00C64534">
        <w:rPr>
          <w:rFonts w:ascii="Arial" w:hAnsi="Arial" w:cs="Arial"/>
          <w:sz w:val="16"/>
        </w:rPr>
        <w:t>7/26/05</w:t>
      </w:r>
      <w:r>
        <w:rPr>
          <w:rFonts w:ascii="Arial" w:hAnsi="Arial" w:cs="Arial"/>
          <w:sz w:val="16"/>
        </w:rPr>
        <w:t>, 10/8/14</w:t>
      </w:r>
      <w:r w:rsidR="000E7E8B">
        <w:rPr>
          <w:rFonts w:ascii="Arial" w:hAnsi="Arial" w:cs="Arial"/>
          <w:sz w:val="16"/>
        </w:rPr>
        <w:t>, 4/27/17</w:t>
      </w:r>
      <w:r w:rsidR="002349F4">
        <w:rPr>
          <w:rFonts w:ascii="Arial" w:hAnsi="Arial" w:cs="Arial"/>
          <w:sz w:val="16"/>
        </w:rPr>
        <w:t>, 2/2/24</w:t>
      </w:r>
      <w:r w:rsidR="009637CF">
        <w:rPr>
          <w:rFonts w:ascii="Arial" w:hAnsi="Arial" w:cs="Arial"/>
          <w:sz w:val="16"/>
        </w:rPr>
        <w:t>, 3/5/25</w:t>
      </w:r>
    </w:p>
    <w:sectPr w:rsidR="00C64534">
      <w:headerReference w:type="default" r:id="rId7"/>
      <w:endnotePr>
        <w:numFmt w:val="decimal"/>
      </w:endnotePr>
      <w:type w:val="continuous"/>
      <w:pgSz w:w="12240" w:h="15840"/>
      <w:pgMar w:top="1008" w:right="1354" w:bottom="1008" w:left="1440" w:header="63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17D5" w:rsidRDefault="002D17D5">
      <w:r>
        <w:separator/>
      </w:r>
    </w:p>
  </w:endnote>
  <w:endnote w:type="continuationSeparator" w:id="0">
    <w:p w:rsidR="002D17D5" w:rsidRDefault="002D1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Arial (W1)">
    <w:altName w:val="Arial"/>
    <w:charset w:val="00"/>
    <w:family w:val="swiss"/>
    <w:pitch w:val="variable"/>
    <w:sig w:usb0="00000000"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17D5" w:rsidRDefault="002D17D5">
      <w:r>
        <w:separator/>
      </w:r>
    </w:p>
  </w:footnote>
  <w:footnote w:type="continuationSeparator" w:id="0">
    <w:p w:rsidR="002D17D5" w:rsidRDefault="002D1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4534" w:rsidRDefault="00C64534">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rsidR="00C64534" w:rsidRDefault="00D94117">
    <w:pPr>
      <w:pStyle w:val="Header"/>
      <w:jc w:val="right"/>
      <w:rPr>
        <w:rFonts w:ascii="Arial" w:hAnsi="Arial" w:cs="Arial"/>
      </w:rPr>
    </w:pPr>
    <w:r>
      <w:rPr>
        <w:rFonts w:ascii="Arial" w:hAnsi="Arial" w:cs="Arial"/>
      </w:rPr>
      <w:t xml:space="preserve">PROVIDER NETWORK MANAGEMENT – CHAPTER </w:t>
    </w:r>
    <w:r w:rsidR="00C64534">
      <w:rPr>
        <w:rFonts w:ascii="Arial" w:hAnsi="Arial" w:cs="Arial"/>
      </w:rPr>
      <w:t>3</w:t>
    </w:r>
  </w:p>
  <w:p w:rsidR="00C64534" w:rsidRDefault="00D94117">
    <w:pPr>
      <w:pStyle w:val="Header"/>
      <w:jc w:val="right"/>
      <w:rPr>
        <w:rFonts w:ascii="Arial" w:hAnsi="Arial" w:cs="Arial"/>
      </w:rPr>
    </w:pPr>
    <w:r>
      <w:rPr>
        <w:rFonts w:ascii="Arial" w:hAnsi="Arial" w:cs="Arial"/>
      </w:rPr>
      <w:t xml:space="preserve">PROVIDER NETWORK DEVELOPMENT – SECITON </w:t>
    </w:r>
    <w:r w:rsidR="00C64534">
      <w:rPr>
        <w:rFonts w:ascii="Arial" w:hAnsi="Arial" w:cs="Arial"/>
      </w:rPr>
      <w:t>100</w:t>
    </w:r>
  </w:p>
  <w:p w:rsidR="00C64534" w:rsidRDefault="00C64534">
    <w:pPr>
      <w:pStyle w:val="Header"/>
      <w:jc w:val="right"/>
      <w:rPr>
        <w:rFonts w:ascii="Arial" w:hAnsi="Arial" w:cs="Arial"/>
      </w:rPr>
    </w:pPr>
    <w:r>
      <w:rPr>
        <w:rFonts w:ascii="Arial" w:hAnsi="Arial" w:cs="Arial"/>
        <w:b/>
        <w:bCs/>
      </w:rPr>
      <w:t>APPEALS</w:t>
    </w:r>
    <w:r>
      <w:rPr>
        <w:rFonts w:ascii="Arial" w:hAnsi="Arial" w:cs="Arial"/>
      </w:rPr>
      <w:t xml:space="preserve"> – </w:t>
    </w:r>
    <w:r w:rsidR="00D94117">
      <w:rPr>
        <w:rFonts w:ascii="Arial" w:hAnsi="Arial" w:cs="Arial"/>
      </w:rPr>
      <w:t xml:space="preserve">SUBJECT </w:t>
    </w:r>
    <w:r>
      <w:rPr>
        <w:rFonts w:ascii="Arial" w:hAnsi="Arial" w:cs="Arial"/>
      </w:rPr>
      <w:t>002</w:t>
    </w:r>
  </w:p>
  <w:p w:rsidR="00C64534" w:rsidRDefault="00C64534">
    <w:pPr>
      <w:pStyle w:val="Header"/>
      <w:pBdr>
        <w:bottom w:val="single" w:sz="12" w:space="1" w:color="auto"/>
      </w:pBdr>
      <w:jc w:val="right"/>
      <w:rPr>
        <w:rFonts w:ascii="Arial" w:hAnsi="Arial" w:cs="Arial"/>
        <w:snapToGrid w:val="0"/>
      </w:rPr>
    </w:pPr>
    <w:r>
      <w:rPr>
        <w:rFonts w:ascii="Arial" w:hAnsi="Arial" w:cs="Arial"/>
        <w:snapToGrid w:val="0"/>
      </w:rPr>
      <w:t xml:space="preserve">Page </w:t>
    </w:r>
    <w:r>
      <w:rPr>
        <w:rFonts w:ascii="Arial" w:hAnsi="Arial" w:cs="Arial"/>
        <w:snapToGrid w:val="0"/>
      </w:rPr>
      <w:fldChar w:fldCharType="begin"/>
    </w:r>
    <w:r>
      <w:rPr>
        <w:rFonts w:ascii="Arial" w:hAnsi="Arial" w:cs="Arial"/>
        <w:snapToGrid w:val="0"/>
      </w:rPr>
      <w:instrText xml:space="preserve"> PAGE </w:instrText>
    </w:r>
    <w:r>
      <w:rPr>
        <w:rFonts w:ascii="Arial" w:hAnsi="Arial" w:cs="Arial"/>
        <w:snapToGrid w:val="0"/>
      </w:rPr>
      <w:fldChar w:fldCharType="separate"/>
    </w:r>
    <w:r w:rsidR="00EC1D67">
      <w:rPr>
        <w:rFonts w:ascii="Arial" w:hAnsi="Arial" w:cs="Arial"/>
        <w:noProof/>
        <w:snapToGrid w:val="0"/>
      </w:rPr>
      <w:t>2</w:t>
    </w:r>
    <w:r>
      <w:rPr>
        <w:rFonts w:ascii="Arial" w:hAnsi="Arial" w:cs="Arial"/>
        <w:snapToGrid w:val="0"/>
      </w:rPr>
      <w:fldChar w:fldCharType="end"/>
    </w:r>
    <w:r>
      <w:rPr>
        <w:rFonts w:ascii="Arial" w:hAnsi="Arial" w:cs="Arial"/>
        <w:snapToGrid w:val="0"/>
      </w:rPr>
      <w:t xml:space="preserve"> of </w:t>
    </w:r>
    <w:r>
      <w:rPr>
        <w:rFonts w:ascii="Arial" w:hAnsi="Arial" w:cs="Arial"/>
        <w:snapToGrid w:val="0"/>
      </w:rPr>
      <w:fldChar w:fldCharType="begin"/>
    </w:r>
    <w:r>
      <w:rPr>
        <w:rFonts w:ascii="Arial" w:hAnsi="Arial" w:cs="Arial"/>
        <w:snapToGrid w:val="0"/>
      </w:rPr>
      <w:instrText xml:space="preserve"> NUMPAGES </w:instrText>
    </w:r>
    <w:r>
      <w:rPr>
        <w:rFonts w:ascii="Arial" w:hAnsi="Arial" w:cs="Arial"/>
        <w:snapToGrid w:val="0"/>
      </w:rPr>
      <w:fldChar w:fldCharType="separate"/>
    </w:r>
    <w:r w:rsidR="00EC1D67">
      <w:rPr>
        <w:rFonts w:ascii="Arial" w:hAnsi="Arial" w:cs="Arial"/>
        <w:noProof/>
        <w:snapToGrid w:val="0"/>
      </w:rPr>
      <w:t>2</w:t>
    </w:r>
    <w:r>
      <w:rPr>
        <w:rFonts w:ascii="Arial" w:hAnsi="Arial" w:cs="Arial"/>
        <w:snapToGrid w:val="0"/>
      </w:rPr>
      <w:fldChar w:fldCharType="end"/>
    </w:r>
  </w:p>
  <w:p w:rsidR="00FF7188" w:rsidRDefault="00FF7188">
    <w:pPr>
      <w:pStyle w:val="Header"/>
      <w:pBdr>
        <w:bottom w:val="single" w:sz="12" w:space="1" w:color="auto"/>
      </w:pBdr>
      <w:jc w:val="right"/>
      <w:rPr>
        <w:rFonts w:ascii="Arial" w:hAnsi="Arial" w:cs="Arial"/>
        <w:snapToGrid w:val="0"/>
      </w:rPr>
    </w:pPr>
  </w:p>
  <w:p w:rsidR="00FF7188" w:rsidRDefault="00FF7188">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972F5"/>
    <w:multiLevelType w:val="hybridMultilevel"/>
    <w:tmpl w:val="C8305304"/>
    <w:lvl w:ilvl="0" w:tplc="4E4080D4">
      <w:start w:val="3"/>
      <w:numFmt w:val="upperLetter"/>
      <w:lvlText w:val="%1."/>
      <w:lvlJc w:val="left"/>
      <w:pPr>
        <w:tabs>
          <w:tab w:val="num" w:pos="1710"/>
        </w:tabs>
        <w:ind w:left="1710" w:hanging="360"/>
      </w:pPr>
      <w:rPr>
        <w:rFonts w:hint="default"/>
      </w:rPr>
    </w:lvl>
    <w:lvl w:ilvl="1" w:tplc="04090019" w:tentative="1">
      <w:start w:val="1"/>
      <w:numFmt w:val="lowerLetter"/>
      <w:lvlText w:val="%2."/>
      <w:lvlJc w:val="left"/>
      <w:pPr>
        <w:tabs>
          <w:tab w:val="num" w:pos="2070"/>
        </w:tabs>
        <w:ind w:left="2070" w:hanging="360"/>
      </w:pPr>
    </w:lvl>
    <w:lvl w:ilvl="2" w:tplc="0409001B" w:tentative="1">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1" w15:restartNumberingAfterBreak="0">
    <w:nsid w:val="1C3677BE"/>
    <w:multiLevelType w:val="hybridMultilevel"/>
    <w:tmpl w:val="FA5E9AD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15:restartNumberingAfterBreak="0">
    <w:nsid w:val="1E8632EF"/>
    <w:multiLevelType w:val="multilevel"/>
    <w:tmpl w:val="FC98D8EA"/>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24D536C0"/>
    <w:multiLevelType w:val="hybridMultilevel"/>
    <w:tmpl w:val="CB561BD2"/>
    <w:lvl w:ilvl="0" w:tplc="1D36E904">
      <w:numFmt w:val="bullet"/>
      <w:lvlText w:val="-"/>
      <w:lvlJc w:val="left"/>
      <w:pPr>
        <w:ind w:left="1080" w:hanging="360"/>
      </w:pPr>
      <w:rPr>
        <w:rFonts w:ascii="Tahoma" w:eastAsia="Times New Roma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487C085A"/>
    <w:multiLevelType w:val="hybridMultilevel"/>
    <w:tmpl w:val="14E64124"/>
    <w:lvl w:ilvl="0" w:tplc="F7E4905C">
      <w:start w:val="1"/>
      <w:numFmt w:val="decimal"/>
      <w:lvlText w:val="%1."/>
      <w:lvlJc w:val="left"/>
      <w:pPr>
        <w:tabs>
          <w:tab w:val="num" w:pos="2520"/>
        </w:tabs>
        <w:ind w:left="25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0D17666"/>
    <w:multiLevelType w:val="hybridMultilevel"/>
    <w:tmpl w:val="F24E311C"/>
    <w:lvl w:ilvl="0" w:tplc="D4660C9A">
      <w:start w:val="2"/>
      <w:numFmt w:val="upperRoman"/>
      <w:lvlText w:val="%1."/>
      <w:lvlJc w:val="left"/>
      <w:pPr>
        <w:tabs>
          <w:tab w:val="num" w:pos="1080"/>
        </w:tabs>
        <w:ind w:left="1080" w:hanging="720"/>
      </w:pPr>
      <w:rPr>
        <w:rFonts w:hint="default"/>
        <w:b w:val="0"/>
      </w:rPr>
    </w:lvl>
    <w:lvl w:ilvl="1" w:tplc="04090019">
      <w:start w:val="1"/>
      <w:numFmt w:val="lowerLetter"/>
      <w:lvlText w:val="%2."/>
      <w:lvlJc w:val="left"/>
      <w:pPr>
        <w:tabs>
          <w:tab w:val="num" w:pos="1440"/>
        </w:tabs>
        <w:ind w:left="1440" w:hanging="360"/>
      </w:pPr>
    </w:lvl>
    <w:lvl w:ilvl="2" w:tplc="20C23100">
      <w:start w:val="1"/>
      <w:numFmt w:val="upperLetter"/>
      <w:lvlText w:val="%3."/>
      <w:lvlJc w:val="left"/>
      <w:pPr>
        <w:tabs>
          <w:tab w:val="num" w:pos="2520"/>
        </w:tabs>
        <w:ind w:left="2520" w:hanging="540"/>
      </w:pPr>
      <w:rPr>
        <w:rFonts w:hint="default"/>
        <w:b w:val="0"/>
        <w:i w:val="0"/>
        <w:caps w:val="0"/>
        <w:strike/>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BF017E8"/>
    <w:multiLevelType w:val="hybridMultilevel"/>
    <w:tmpl w:val="9CB2C540"/>
    <w:lvl w:ilvl="0" w:tplc="A268FB74">
      <w:start w:val="5"/>
      <w:numFmt w:val="upperRoman"/>
      <w:lvlText w:val="%1."/>
      <w:lvlJc w:val="left"/>
      <w:pPr>
        <w:tabs>
          <w:tab w:val="num" w:pos="1440"/>
        </w:tabs>
        <w:ind w:left="108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F1D0CEB"/>
    <w:multiLevelType w:val="hybridMultilevel"/>
    <w:tmpl w:val="66F651F2"/>
    <w:lvl w:ilvl="0" w:tplc="FE885132">
      <w:start w:val="1"/>
      <w:numFmt w:val="upperLetter"/>
      <w:lvlText w:val="%1."/>
      <w:lvlJc w:val="left"/>
      <w:pPr>
        <w:tabs>
          <w:tab w:val="num" w:pos="1080"/>
        </w:tabs>
        <w:ind w:left="1080" w:hanging="360"/>
      </w:pPr>
      <w:rPr>
        <w:rFonts w:hint="default"/>
        <w:b w:val="0"/>
      </w:rPr>
    </w:lvl>
    <w:lvl w:ilvl="1" w:tplc="5978A82E">
      <w:start w:val="1"/>
      <w:numFmt w:val="decimal"/>
      <w:lvlText w:val="%2."/>
      <w:lvlJc w:val="left"/>
      <w:pPr>
        <w:tabs>
          <w:tab w:val="num" w:pos="1800"/>
        </w:tabs>
        <w:ind w:left="1800" w:hanging="360"/>
      </w:pPr>
      <w:rPr>
        <w:rFonts w:hint="default"/>
        <w:sz w:val="20"/>
      </w:rPr>
    </w:lvl>
    <w:lvl w:ilvl="2" w:tplc="14EACA86">
      <w:start w:val="1"/>
      <w:numFmt w:val="lowerRoman"/>
      <w:lvlText w:val="%3."/>
      <w:lvlJc w:val="right"/>
      <w:pPr>
        <w:tabs>
          <w:tab w:val="num" w:pos="2520"/>
        </w:tabs>
        <w:ind w:left="2520" w:hanging="180"/>
      </w:pPr>
      <w:rPr>
        <w:rFonts w:hint="default"/>
        <w:b/>
        <w:i w:val="0"/>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714242C9"/>
    <w:multiLevelType w:val="hybridMultilevel"/>
    <w:tmpl w:val="BED0DD78"/>
    <w:lvl w:ilvl="0" w:tplc="81A86CF2">
      <w:start w:val="1"/>
      <w:numFmt w:val="lowerRoman"/>
      <w:lvlText w:val="%1."/>
      <w:lvlJc w:val="left"/>
      <w:pPr>
        <w:tabs>
          <w:tab w:val="num" w:pos="72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F52FFE2">
      <w:start w:val="1"/>
      <w:numFmt w:val="lowerLetter"/>
      <w:lvlText w:val="%3."/>
      <w:lvlJc w:val="right"/>
      <w:pPr>
        <w:tabs>
          <w:tab w:val="num" w:pos="2160"/>
        </w:tabs>
        <w:ind w:left="2160" w:hanging="180"/>
      </w:pPr>
      <w:rPr>
        <w:rFonts w:hint="default"/>
        <w:b w:val="0"/>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7"/>
  </w:num>
  <w:num w:numId="2">
    <w:abstractNumId w:val="0"/>
  </w:num>
  <w:num w:numId="3">
    <w:abstractNumId w:val="1"/>
  </w:num>
  <w:num w:numId="4">
    <w:abstractNumId w:val="5"/>
  </w:num>
  <w:num w:numId="5">
    <w:abstractNumId w:val="6"/>
  </w:num>
  <w:num w:numId="6">
    <w:abstractNumId w:val="8"/>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11265"/>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3E7"/>
    <w:rsid w:val="00057904"/>
    <w:rsid w:val="000E7E8B"/>
    <w:rsid w:val="00140D85"/>
    <w:rsid w:val="002349F4"/>
    <w:rsid w:val="002871C2"/>
    <w:rsid w:val="002B728C"/>
    <w:rsid w:val="002D17D5"/>
    <w:rsid w:val="002F53FE"/>
    <w:rsid w:val="003725AB"/>
    <w:rsid w:val="00623200"/>
    <w:rsid w:val="00676580"/>
    <w:rsid w:val="006C23AD"/>
    <w:rsid w:val="00802DB7"/>
    <w:rsid w:val="008B03E7"/>
    <w:rsid w:val="009637CF"/>
    <w:rsid w:val="00B1404C"/>
    <w:rsid w:val="00C64534"/>
    <w:rsid w:val="00CD2712"/>
    <w:rsid w:val="00CE2D1B"/>
    <w:rsid w:val="00CF4B95"/>
    <w:rsid w:val="00D72CFE"/>
    <w:rsid w:val="00D94117"/>
    <w:rsid w:val="00DA3C18"/>
    <w:rsid w:val="00EC1D67"/>
    <w:rsid w:val="00EF1E5E"/>
    <w:rsid w:val="00F56885"/>
    <w:rsid w:val="00FF71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1265"/>
    <o:shapelayout v:ext="edit">
      <o:idmap v:ext="edit" data="1"/>
    </o:shapelayout>
  </w:shapeDefaults>
  <w:decimalSymbol w:val="."/>
  <w:listSeparator w:val=","/>
  <w14:docId w14:val="403F510F"/>
  <w15:chartTrackingRefBased/>
  <w15:docId w15:val="{E1BAA2D7-F468-4A3B-AD3E-149BA90A5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rPr>
      <w:rFonts w:ascii="Courier" w:hAnsi="Courier"/>
      <w:szCs w:val="24"/>
    </w:rPr>
  </w:style>
  <w:style w:type="paragraph" w:styleId="Heading1">
    <w:name w:val="heading 1"/>
    <w:basedOn w:val="Normal"/>
    <w:next w:val="Normal"/>
    <w:qFormat/>
    <w:pPr>
      <w:keepNext/>
      <w:jc w:val="center"/>
      <w:outlineLvl w:val="0"/>
    </w:pPr>
    <w:rPr>
      <w:rFonts w:ascii="Arial (W1)" w:hAnsi="Arial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tabs>
        <w:tab w:val="left" w:pos="-1440"/>
      </w:tabs>
      <w:ind w:left="2160" w:hanging="720"/>
    </w:pPr>
    <w:rPr>
      <w:rFonts w:ascii="Arial" w:hAnsi="Arial" w:cs="Arial"/>
    </w:rPr>
  </w:style>
  <w:style w:type="paragraph" w:styleId="BodyTextIndent2">
    <w:name w:val="Body Text Indent 2"/>
    <w:basedOn w:val="Normal"/>
    <w:pPr>
      <w:ind w:left="1170"/>
    </w:pPr>
    <w:rPr>
      <w:rFonts w:ascii="Arial" w:hAnsi="Arial" w:cs="Arial"/>
      <w:strike/>
    </w:rPr>
  </w:style>
  <w:style w:type="paragraph" w:styleId="BodyTextIndent3">
    <w:name w:val="Body Text Indent 3"/>
    <w:basedOn w:val="Normal"/>
    <w:pPr>
      <w:ind w:left="720" w:hanging="720"/>
    </w:pPr>
    <w:rPr>
      <w:rFonts w:ascii="Arial" w:hAnsi="Arial" w:cs="Arial"/>
    </w:rPr>
  </w:style>
  <w:style w:type="paragraph" w:styleId="BalloonText">
    <w:name w:val="Balloon Text"/>
    <w:basedOn w:val="Normal"/>
    <w:link w:val="BalloonTextChar"/>
    <w:rsid w:val="003725AB"/>
    <w:rPr>
      <w:rFonts w:ascii="Tahoma" w:hAnsi="Tahoma" w:cs="Tahoma"/>
      <w:sz w:val="16"/>
      <w:szCs w:val="16"/>
    </w:rPr>
  </w:style>
  <w:style w:type="character" w:customStyle="1" w:styleId="BalloonTextChar">
    <w:name w:val="Balloon Text Char"/>
    <w:link w:val="BalloonText"/>
    <w:rsid w:val="003725AB"/>
    <w:rPr>
      <w:rFonts w:ascii="Tahoma" w:hAnsi="Tahoma" w:cs="Tahoma"/>
      <w:sz w:val="16"/>
      <w:szCs w:val="16"/>
    </w:rPr>
  </w:style>
  <w:style w:type="paragraph" w:styleId="ListParagraph">
    <w:name w:val="List Paragraph"/>
    <w:basedOn w:val="Normal"/>
    <w:uiPriority w:val="34"/>
    <w:qFormat/>
    <w:rsid w:val="00DA3C18"/>
    <w:pPr>
      <w:widowControl/>
      <w:autoSpaceDE/>
      <w:autoSpaceDN/>
      <w:adjustRightInd/>
      <w:ind w:left="720"/>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71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810</Words>
  <Characters>4442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I</vt:lpstr>
    </vt:vector>
  </TitlesOfParts>
  <Company/>
  <LinksUpToDate>false</LinksUpToDate>
  <CharactersWithSpaces>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sharvey</dc:creator>
  <cp:keywords/>
  <cp:lastModifiedBy>Karen Rau</cp:lastModifiedBy>
  <cp:revision>7</cp:revision>
  <cp:lastPrinted>2017-05-01T20:47:00Z</cp:lastPrinted>
  <dcterms:created xsi:type="dcterms:W3CDTF">2022-05-18T13:46:00Z</dcterms:created>
  <dcterms:modified xsi:type="dcterms:W3CDTF">2025-03-06T19:36:00Z</dcterms:modified>
</cp:coreProperties>
</file>