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9CA596" w14:textId="77777777" w:rsidR="00837D1F" w:rsidRPr="001B1A5A" w:rsidRDefault="00837D1F">
      <w:pPr>
        <w:pStyle w:val="Title"/>
        <w:pBdr>
          <w:bottom w:val="single" w:sz="12" w:space="0" w:color="auto"/>
        </w:pBdr>
        <w:rPr>
          <w:szCs w:val="20"/>
        </w:rPr>
      </w:pPr>
      <w:r w:rsidRPr="001B1A5A">
        <w:rPr>
          <w:szCs w:val="20"/>
        </w:rPr>
        <w:t>ADMINISTRATIVE GUIDELINE</w:t>
      </w:r>
    </w:p>
    <w:p w14:paraId="672A6659" w14:textId="77777777" w:rsidR="00837D1F" w:rsidRPr="001B1A5A" w:rsidRDefault="00837D1F">
      <w:pPr>
        <w:rPr>
          <w:rFonts w:ascii="Arial" w:hAnsi="Arial" w:cs="Arial"/>
          <w:b/>
          <w:bCs/>
          <w:sz w:val="20"/>
          <w:szCs w:val="20"/>
        </w:rPr>
      </w:pPr>
    </w:p>
    <w:p w14:paraId="56B2698A" w14:textId="3B3977C6" w:rsidR="00837D1F" w:rsidRPr="001B1A5A" w:rsidRDefault="00837D1F">
      <w:pPr>
        <w:rPr>
          <w:rFonts w:ascii="Arial" w:hAnsi="Arial" w:cs="Arial"/>
          <w:sz w:val="20"/>
          <w:szCs w:val="20"/>
        </w:rPr>
      </w:pPr>
      <w:proofErr w:type="gramStart"/>
      <w:r w:rsidRPr="001B1A5A">
        <w:rPr>
          <w:rFonts w:ascii="Arial" w:hAnsi="Arial" w:cs="Arial"/>
          <w:sz w:val="20"/>
          <w:szCs w:val="20"/>
        </w:rPr>
        <w:t>In an effort to</w:t>
      </w:r>
      <w:proofErr w:type="gramEnd"/>
      <w:r w:rsidRPr="001B1A5A">
        <w:rPr>
          <w:rFonts w:ascii="Arial" w:hAnsi="Arial" w:cs="Arial"/>
          <w:sz w:val="20"/>
          <w:szCs w:val="20"/>
        </w:rPr>
        <w:t xml:space="preserve"> </w:t>
      </w:r>
      <w:r w:rsidR="00585EFD">
        <w:rPr>
          <w:rFonts w:ascii="Arial" w:hAnsi="Arial" w:cs="Arial"/>
          <w:sz w:val="20"/>
          <w:szCs w:val="20"/>
        </w:rPr>
        <w:t xml:space="preserve">promote medication safety and reduce the risk of medication </w:t>
      </w:r>
      <w:r w:rsidR="00D41A5D">
        <w:rPr>
          <w:rFonts w:ascii="Arial" w:hAnsi="Arial" w:cs="Arial"/>
          <w:sz w:val="20"/>
          <w:szCs w:val="20"/>
        </w:rPr>
        <w:t>errors,</w:t>
      </w:r>
      <w:r w:rsidR="00D41A5D" w:rsidRPr="001B1A5A">
        <w:rPr>
          <w:rFonts w:ascii="Arial" w:hAnsi="Arial" w:cs="Arial"/>
          <w:sz w:val="20"/>
          <w:szCs w:val="20"/>
        </w:rPr>
        <w:t xml:space="preserve"> Community</w:t>
      </w:r>
      <w:r w:rsidR="001B1A5A" w:rsidRPr="001B1A5A">
        <w:rPr>
          <w:rFonts w:ascii="Arial" w:hAnsi="Arial" w:cs="Arial"/>
          <w:sz w:val="20"/>
          <w:szCs w:val="20"/>
        </w:rPr>
        <w:t xml:space="preserve"> Mental Health for Central Michigan (C</w:t>
      </w:r>
      <w:r w:rsidRPr="001B1A5A">
        <w:rPr>
          <w:rFonts w:ascii="Arial" w:hAnsi="Arial" w:cs="Arial"/>
          <w:sz w:val="20"/>
          <w:szCs w:val="20"/>
        </w:rPr>
        <w:t>MHCM</w:t>
      </w:r>
      <w:r w:rsidR="001B1A5A" w:rsidRPr="001B1A5A">
        <w:rPr>
          <w:rFonts w:ascii="Arial" w:hAnsi="Arial" w:cs="Arial"/>
          <w:sz w:val="20"/>
          <w:szCs w:val="20"/>
        </w:rPr>
        <w:t>)</w:t>
      </w:r>
      <w:r w:rsidRPr="001B1A5A">
        <w:rPr>
          <w:rFonts w:ascii="Arial" w:hAnsi="Arial" w:cs="Arial"/>
          <w:sz w:val="20"/>
          <w:szCs w:val="20"/>
        </w:rPr>
        <w:t xml:space="preserve"> has identified a process to address sou</w:t>
      </w:r>
      <w:r w:rsidR="001B1A5A" w:rsidRPr="001B1A5A">
        <w:rPr>
          <w:rFonts w:ascii="Arial" w:hAnsi="Arial" w:cs="Arial"/>
          <w:sz w:val="20"/>
          <w:szCs w:val="20"/>
        </w:rPr>
        <w:t xml:space="preserve">nd-alike and look-alike drugs. </w:t>
      </w:r>
      <w:r w:rsidRPr="001B1A5A">
        <w:rPr>
          <w:rFonts w:ascii="Arial" w:hAnsi="Arial" w:cs="Arial"/>
          <w:sz w:val="20"/>
          <w:szCs w:val="20"/>
        </w:rPr>
        <w:t>The</w:t>
      </w:r>
      <w:r w:rsidR="00A67A5F">
        <w:rPr>
          <w:rFonts w:ascii="Arial" w:hAnsi="Arial" w:cs="Arial"/>
          <w:sz w:val="20"/>
          <w:szCs w:val="20"/>
        </w:rPr>
        <w:t xml:space="preserve"> Medical</w:t>
      </w:r>
      <w:r w:rsidRPr="001B1A5A">
        <w:rPr>
          <w:rFonts w:ascii="Arial" w:hAnsi="Arial" w:cs="Arial"/>
          <w:sz w:val="20"/>
          <w:szCs w:val="20"/>
        </w:rPr>
        <w:t xml:space="preserve"> </w:t>
      </w:r>
      <w:r w:rsidR="0082646C" w:rsidRPr="00A67A5F">
        <w:rPr>
          <w:rFonts w:ascii="Arial" w:hAnsi="Arial" w:cs="Arial"/>
          <w:sz w:val="20"/>
          <w:szCs w:val="20"/>
        </w:rPr>
        <w:t>Director and Nurse Administrator</w:t>
      </w:r>
      <w:r w:rsidR="0082646C">
        <w:rPr>
          <w:rFonts w:ascii="Arial" w:hAnsi="Arial" w:cs="Arial"/>
          <w:b/>
          <w:sz w:val="20"/>
          <w:szCs w:val="20"/>
        </w:rPr>
        <w:t xml:space="preserve"> </w:t>
      </w:r>
      <w:r w:rsidR="00DF439C">
        <w:rPr>
          <w:rFonts w:ascii="Arial" w:hAnsi="Arial" w:cs="Arial"/>
          <w:sz w:val="20"/>
          <w:szCs w:val="20"/>
        </w:rPr>
        <w:t xml:space="preserve">will review and update the list included with this </w:t>
      </w:r>
      <w:r w:rsidR="005F7AC0">
        <w:rPr>
          <w:rFonts w:ascii="Arial" w:hAnsi="Arial" w:cs="Arial"/>
          <w:sz w:val="20"/>
          <w:szCs w:val="20"/>
        </w:rPr>
        <w:t>guideline</w:t>
      </w:r>
      <w:r w:rsidR="00DF439C">
        <w:rPr>
          <w:rFonts w:ascii="Arial" w:hAnsi="Arial" w:cs="Arial"/>
          <w:sz w:val="20"/>
          <w:szCs w:val="20"/>
        </w:rPr>
        <w:t xml:space="preserve"> annually and identify measures as needed to reduce the risk of errors</w:t>
      </w:r>
      <w:r w:rsidR="005F7AC0">
        <w:rPr>
          <w:rFonts w:ascii="Arial" w:hAnsi="Arial" w:cs="Arial"/>
          <w:sz w:val="20"/>
          <w:szCs w:val="20"/>
        </w:rPr>
        <w:t xml:space="preserve"> involving look-alike and sound-alike medications</w:t>
      </w:r>
      <w:r w:rsidRPr="001B1A5A">
        <w:rPr>
          <w:rFonts w:ascii="Arial" w:hAnsi="Arial" w:cs="Arial"/>
          <w:sz w:val="20"/>
          <w:szCs w:val="20"/>
        </w:rPr>
        <w:t xml:space="preserve">. </w:t>
      </w:r>
    </w:p>
    <w:p w14:paraId="0A37501D" w14:textId="77777777" w:rsidR="00837D1F" w:rsidRPr="001B1A5A" w:rsidRDefault="00837D1F">
      <w:pPr>
        <w:rPr>
          <w:rFonts w:ascii="Arial" w:hAnsi="Arial" w:cs="Arial"/>
          <w:sz w:val="20"/>
          <w:szCs w:val="20"/>
        </w:rPr>
      </w:pPr>
    </w:p>
    <w:p w14:paraId="157669EC" w14:textId="78927300" w:rsidR="00837D1F" w:rsidRPr="001B1A5A" w:rsidRDefault="007B2D30">
      <w:pPr>
        <w:pStyle w:val="BodyText"/>
        <w:rPr>
          <w:rFonts w:ascii="Arial" w:hAnsi="Arial" w:cs="Arial"/>
          <w:szCs w:val="20"/>
        </w:rPr>
      </w:pPr>
      <w:r>
        <w:rPr>
          <w:rFonts w:ascii="Arial" w:hAnsi="Arial" w:cs="Arial"/>
          <w:szCs w:val="20"/>
        </w:rPr>
        <w:t>Each CMHCM site where medications are distributed or administered will have access</w:t>
      </w:r>
      <w:r w:rsidR="0037488D">
        <w:rPr>
          <w:rFonts w:ascii="Arial" w:hAnsi="Arial" w:cs="Arial"/>
          <w:szCs w:val="20"/>
        </w:rPr>
        <w:t xml:space="preserve"> to the</w:t>
      </w:r>
      <w:r w:rsidR="009E31DF">
        <w:rPr>
          <w:rFonts w:ascii="Arial" w:hAnsi="Arial" w:cs="Arial"/>
          <w:szCs w:val="20"/>
        </w:rPr>
        <w:t xml:space="preserve"> current list and will implement appropriate measures to reduce the risk of look-alike/sound-alike medication errors</w:t>
      </w:r>
      <w:r w:rsidR="00837D1F" w:rsidRPr="001B1A5A">
        <w:rPr>
          <w:rFonts w:ascii="Arial" w:hAnsi="Arial" w:cs="Arial"/>
          <w:szCs w:val="20"/>
        </w:rPr>
        <w:t>. This plan may consist of but not be limited to:</w:t>
      </w:r>
    </w:p>
    <w:p w14:paraId="0DD4AFCE" w14:textId="77777777" w:rsidR="00837D1F" w:rsidRPr="001B1A5A" w:rsidRDefault="00837D1F">
      <w:pPr>
        <w:numPr>
          <w:ilvl w:val="0"/>
          <w:numId w:val="15"/>
        </w:numPr>
        <w:tabs>
          <w:tab w:val="left" w:pos="723"/>
        </w:tabs>
        <w:ind w:left="720"/>
        <w:rPr>
          <w:rFonts w:ascii="Arial" w:hAnsi="Arial" w:cs="Arial"/>
          <w:sz w:val="20"/>
          <w:szCs w:val="20"/>
        </w:rPr>
      </w:pPr>
      <w:r w:rsidRPr="001B1A5A">
        <w:rPr>
          <w:rFonts w:ascii="Arial" w:hAnsi="Arial" w:cs="Arial"/>
          <w:sz w:val="20"/>
          <w:szCs w:val="20"/>
        </w:rPr>
        <w:t>Listing both the brand and generic names on medication records.</w:t>
      </w:r>
    </w:p>
    <w:p w14:paraId="7B990079" w14:textId="69FEDEA6" w:rsidR="00837D1F" w:rsidRPr="001B1A5A" w:rsidRDefault="00837D1F">
      <w:pPr>
        <w:numPr>
          <w:ilvl w:val="0"/>
          <w:numId w:val="15"/>
        </w:numPr>
        <w:tabs>
          <w:tab w:val="left" w:pos="723"/>
        </w:tabs>
        <w:ind w:left="720"/>
        <w:rPr>
          <w:rFonts w:ascii="Arial" w:hAnsi="Arial" w:cs="Arial"/>
          <w:sz w:val="20"/>
          <w:szCs w:val="20"/>
        </w:rPr>
      </w:pPr>
      <w:r w:rsidRPr="001B1A5A">
        <w:rPr>
          <w:rFonts w:ascii="Arial" w:hAnsi="Arial" w:cs="Arial"/>
          <w:sz w:val="20"/>
          <w:szCs w:val="20"/>
        </w:rPr>
        <w:t>Storing products with look-alike or sound-alike names in different locations.</w:t>
      </w:r>
    </w:p>
    <w:p w14:paraId="75C2453C" w14:textId="77777777" w:rsidR="00837D1F" w:rsidRPr="001B1A5A" w:rsidRDefault="00837D1F">
      <w:pPr>
        <w:numPr>
          <w:ilvl w:val="0"/>
          <w:numId w:val="15"/>
        </w:numPr>
        <w:tabs>
          <w:tab w:val="left" w:pos="723"/>
        </w:tabs>
        <w:ind w:left="720"/>
        <w:rPr>
          <w:rFonts w:ascii="Arial" w:hAnsi="Arial" w:cs="Arial"/>
          <w:sz w:val="20"/>
          <w:szCs w:val="20"/>
        </w:rPr>
      </w:pPr>
      <w:r w:rsidRPr="001B1A5A">
        <w:rPr>
          <w:rFonts w:ascii="Arial" w:hAnsi="Arial" w:cs="Arial"/>
          <w:sz w:val="20"/>
          <w:szCs w:val="20"/>
        </w:rPr>
        <w:t>Employing double checks in the distribution process.</w:t>
      </w:r>
    </w:p>
    <w:p w14:paraId="6A333840" w14:textId="77777777" w:rsidR="00837D1F" w:rsidRPr="001B1A5A" w:rsidRDefault="00837D1F">
      <w:pPr>
        <w:numPr>
          <w:ilvl w:val="0"/>
          <w:numId w:val="15"/>
        </w:numPr>
        <w:tabs>
          <w:tab w:val="left" w:pos="723"/>
        </w:tabs>
        <w:ind w:left="720"/>
        <w:rPr>
          <w:rFonts w:ascii="Arial" w:hAnsi="Arial" w:cs="Arial"/>
          <w:sz w:val="20"/>
          <w:szCs w:val="20"/>
        </w:rPr>
      </w:pPr>
      <w:r w:rsidRPr="001B1A5A">
        <w:rPr>
          <w:rFonts w:ascii="Arial" w:hAnsi="Arial" w:cs="Arial"/>
          <w:sz w:val="20"/>
          <w:szCs w:val="20"/>
        </w:rPr>
        <w:t>Affixing “name alert” stickers to areas where look-alike or sound-alike products are stored.</w:t>
      </w:r>
    </w:p>
    <w:p w14:paraId="2869C4E3" w14:textId="77777777" w:rsidR="00837D1F" w:rsidRPr="001B1A5A" w:rsidRDefault="00837D1F">
      <w:pPr>
        <w:numPr>
          <w:ilvl w:val="0"/>
          <w:numId w:val="15"/>
        </w:numPr>
        <w:tabs>
          <w:tab w:val="left" w:pos="723"/>
        </w:tabs>
        <w:ind w:left="720"/>
        <w:rPr>
          <w:rFonts w:ascii="Arial" w:hAnsi="Arial" w:cs="Arial"/>
          <w:sz w:val="20"/>
          <w:szCs w:val="20"/>
        </w:rPr>
      </w:pPr>
      <w:r w:rsidRPr="001B1A5A">
        <w:rPr>
          <w:rFonts w:ascii="Arial" w:hAnsi="Arial" w:cs="Arial"/>
          <w:sz w:val="20"/>
          <w:szCs w:val="20"/>
        </w:rPr>
        <w:t xml:space="preserve">Changing the appearance of look-alike product names on pharmacy labels, computer screens, shelf labels and bins, and medication records by highlighting, through bold face, color, and/or tall man letters, the parts of the names that are different (e.g. </w:t>
      </w:r>
      <w:proofErr w:type="spellStart"/>
      <w:r w:rsidRPr="001B1A5A">
        <w:rPr>
          <w:rFonts w:ascii="Arial" w:hAnsi="Arial" w:cs="Arial"/>
          <w:sz w:val="20"/>
          <w:szCs w:val="20"/>
        </w:rPr>
        <w:t>hydr</w:t>
      </w:r>
      <w:r w:rsidRPr="001B1A5A">
        <w:rPr>
          <w:rFonts w:ascii="Arial" w:hAnsi="Arial" w:cs="Arial"/>
          <w:b/>
          <w:bCs/>
          <w:sz w:val="20"/>
          <w:szCs w:val="20"/>
        </w:rPr>
        <w:t>OXY</w:t>
      </w:r>
      <w:r w:rsidRPr="001B1A5A">
        <w:rPr>
          <w:rFonts w:ascii="Arial" w:hAnsi="Arial" w:cs="Arial"/>
          <w:sz w:val="20"/>
          <w:szCs w:val="20"/>
        </w:rPr>
        <w:t>zine</w:t>
      </w:r>
      <w:proofErr w:type="spellEnd"/>
      <w:r w:rsidRPr="001B1A5A">
        <w:rPr>
          <w:rFonts w:ascii="Arial" w:hAnsi="Arial" w:cs="Arial"/>
          <w:sz w:val="20"/>
          <w:szCs w:val="20"/>
        </w:rPr>
        <w:t xml:space="preserve">, </w:t>
      </w:r>
      <w:proofErr w:type="spellStart"/>
      <w:r w:rsidRPr="001B1A5A">
        <w:rPr>
          <w:rFonts w:ascii="Arial" w:hAnsi="Arial" w:cs="Arial"/>
          <w:sz w:val="20"/>
          <w:szCs w:val="20"/>
        </w:rPr>
        <w:t>hydr</w:t>
      </w:r>
      <w:r w:rsidRPr="001B1A5A">
        <w:rPr>
          <w:rFonts w:ascii="Arial" w:hAnsi="Arial" w:cs="Arial"/>
          <w:b/>
          <w:bCs/>
          <w:sz w:val="20"/>
          <w:szCs w:val="20"/>
        </w:rPr>
        <w:t>ALA</w:t>
      </w:r>
      <w:r w:rsidRPr="001B1A5A">
        <w:rPr>
          <w:rFonts w:ascii="Arial" w:hAnsi="Arial" w:cs="Arial"/>
          <w:sz w:val="20"/>
          <w:szCs w:val="20"/>
        </w:rPr>
        <w:t>zine</w:t>
      </w:r>
      <w:proofErr w:type="spellEnd"/>
      <w:r w:rsidRPr="001B1A5A">
        <w:rPr>
          <w:rFonts w:ascii="Arial" w:hAnsi="Arial" w:cs="Arial"/>
          <w:sz w:val="20"/>
          <w:szCs w:val="20"/>
        </w:rPr>
        <w:t>).</w:t>
      </w:r>
    </w:p>
    <w:p w14:paraId="1DDC39E2" w14:textId="77777777" w:rsidR="00837D1F" w:rsidRPr="001B1A5A" w:rsidRDefault="00837D1F">
      <w:pPr>
        <w:numPr>
          <w:ilvl w:val="0"/>
          <w:numId w:val="15"/>
        </w:numPr>
        <w:tabs>
          <w:tab w:val="left" w:pos="723"/>
        </w:tabs>
        <w:ind w:left="720"/>
        <w:rPr>
          <w:rFonts w:ascii="Arial" w:hAnsi="Arial" w:cs="Arial"/>
          <w:sz w:val="20"/>
          <w:szCs w:val="20"/>
        </w:rPr>
      </w:pPr>
      <w:r w:rsidRPr="001B1A5A">
        <w:rPr>
          <w:rFonts w:ascii="Arial" w:hAnsi="Arial" w:cs="Arial"/>
          <w:sz w:val="20"/>
          <w:szCs w:val="20"/>
        </w:rPr>
        <w:t>Having physicians write prescriptions using both the brand and generic names.</w:t>
      </w:r>
    </w:p>
    <w:p w14:paraId="603E3B1D" w14:textId="77777777" w:rsidR="00837D1F" w:rsidRPr="001B1A5A" w:rsidRDefault="00837D1F">
      <w:pPr>
        <w:numPr>
          <w:ilvl w:val="0"/>
          <w:numId w:val="15"/>
        </w:numPr>
        <w:tabs>
          <w:tab w:val="left" w:pos="723"/>
        </w:tabs>
        <w:ind w:left="720"/>
        <w:rPr>
          <w:rFonts w:ascii="Arial" w:hAnsi="Arial" w:cs="Arial"/>
          <w:sz w:val="20"/>
          <w:szCs w:val="20"/>
        </w:rPr>
      </w:pPr>
      <w:r w:rsidRPr="001B1A5A">
        <w:rPr>
          <w:rFonts w:ascii="Arial" w:hAnsi="Arial" w:cs="Arial"/>
          <w:sz w:val="20"/>
          <w:szCs w:val="20"/>
        </w:rPr>
        <w:t>Alerting consumers to the potential for mix-ups.</w:t>
      </w:r>
    </w:p>
    <w:p w14:paraId="5FBA71F2" w14:textId="77777777" w:rsidR="00837D1F" w:rsidRPr="001B1A5A" w:rsidRDefault="001B1A5A">
      <w:pPr>
        <w:numPr>
          <w:ilvl w:val="0"/>
          <w:numId w:val="15"/>
        </w:numPr>
        <w:tabs>
          <w:tab w:val="left" w:pos="723"/>
        </w:tabs>
        <w:ind w:left="720"/>
        <w:rPr>
          <w:rFonts w:ascii="Arial" w:hAnsi="Arial" w:cs="Arial"/>
          <w:sz w:val="20"/>
          <w:szCs w:val="20"/>
        </w:rPr>
      </w:pPr>
      <w:r w:rsidRPr="001B1A5A">
        <w:rPr>
          <w:rFonts w:ascii="Arial" w:hAnsi="Arial" w:cs="Arial"/>
          <w:sz w:val="20"/>
          <w:szCs w:val="20"/>
        </w:rPr>
        <w:t>Encouraging patients and direct care s</w:t>
      </w:r>
      <w:r w:rsidR="00837D1F" w:rsidRPr="001B1A5A">
        <w:rPr>
          <w:rFonts w:ascii="Arial" w:hAnsi="Arial" w:cs="Arial"/>
          <w:sz w:val="20"/>
          <w:szCs w:val="20"/>
        </w:rPr>
        <w:t>taff to question pharmacists and nurses about medications that are unfamiliar or look or sound different than expected.</w:t>
      </w:r>
    </w:p>
    <w:p w14:paraId="5DAB6C7B" w14:textId="77777777" w:rsidR="00837D1F" w:rsidRPr="001B1A5A" w:rsidRDefault="00837D1F">
      <w:pPr>
        <w:tabs>
          <w:tab w:val="left" w:pos="723"/>
        </w:tabs>
        <w:ind w:left="360"/>
        <w:rPr>
          <w:rFonts w:ascii="Arial" w:hAnsi="Arial" w:cs="Arial"/>
          <w:sz w:val="20"/>
          <w:szCs w:val="20"/>
        </w:rPr>
      </w:pPr>
    </w:p>
    <w:p w14:paraId="5A9244B5" w14:textId="77777777" w:rsidR="00073461" w:rsidRDefault="00073461">
      <w:pPr>
        <w:rPr>
          <w:rFonts w:ascii="Arial" w:hAnsi="Arial" w:cs="Arial"/>
          <w:b/>
          <w:bCs/>
          <w:color w:val="000000"/>
          <w:sz w:val="20"/>
          <w:szCs w:val="20"/>
        </w:rPr>
      </w:pPr>
      <w:r>
        <w:rPr>
          <w:rFonts w:ascii="Arial" w:hAnsi="Arial" w:cs="Arial"/>
          <w:b/>
          <w:bCs/>
          <w:color w:val="000000"/>
          <w:sz w:val="20"/>
          <w:szCs w:val="20"/>
        </w:rPr>
        <w:br w:type="page"/>
      </w:r>
    </w:p>
    <w:p w14:paraId="2F5C78BC" w14:textId="6128BFD8" w:rsidR="0061533D" w:rsidRDefault="0067114E" w:rsidP="001B1A5A">
      <w:pPr>
        <w:autoSpaceDE w:val="0"/>
        <w:autoSpaceDN w:val="0"/>
        <w:adjustRightInd w:val="0"/>
        <w:rPr>
          <w:rFonts w:ascii="Arial" w:hAnsi="Arial" w:cs="Arial"/>
          <w:color w:val="000000"/>
          <w:sz w:val="20"/>
          <w:szCs w:val="20"/>
        </w:rPr>
      </w:pPr>
      <w:r w:rsidRPr="0067114E">
        <w:rPr>
          <w:rFonts w:ascii="Arial" w:hAnsi="Arial" w:cs="Arial"/>
          <w:color w:val="000000"/>
          <w:sz w:val="20"/>
          <w:szCs w:val="20"/>
        </w:rPr>
        <w:lastRenderedPageBreak/>
        <w:drawing>
          <wp:inline distT="0" distB="0" distL="0" distR="0" wp14:anchorId="319E8950" wp14:editId="5C789638">
            <wp:extent cx="6126480" cy="3028950"/>
            <wp:effectExtent l="0" t="0" r="7620" b="0"/>
            <wp:docPr id="15160182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018295" name=""/>
                    <pic:cNvPicPr/>
                  </pic:nvPicPr>
                  <pic:blipFill rotWithShape="1">
                    <a:blip r:embed="rId10"/>
                    <a:srcRect t="1852"/>
                    <a:stretch>
                      <a:fillRect/>
                    </a:stretch>
                  </pic:blipFill>
                  <pic:spPr bwMode="auto">
                    <a:xfrm>
                      <a:off x="0" y="0"/>
                      <a:ext cx="6126480" cy="3028950"/>
                    </a:xfrm>
                    <a:prstGeom prst="rect">
                      <a:avLst/>
                    </a:prstGeom>
                    <a:ln>
                      <a:noFill/>
                    </a:ln>
                    <a:extLst>
                      <a:ext uri="{53640926-AAD7-44D8-BBD7-CCE9431645EC}">
                        <a14:shadowObscured xmlns:a14="http://schemas.microsoft.com/office/drawing/2010/main"/>
                      </a:ext>
                    </a:extLst>
                  </pic:spPr>
                </pic:pic>
              </a:graphicData>
            </a:graphic>
          </wp:inline>
        </w:drawing>
      </w:r>
      <w:r w:rsidR="0061533D" w:rsidRPr="0061533D">
        <w:rPr>
          <w:rFonts w:ascii="Arial" w:hAnsi="Arial" w:cs="Arial"/>
          <w:color w:val="000000"/>
          <w:sz w:val="20"/>
          <w:szCs w:val="20"/>
        </w:rPr>
        <w:drawing>
          <wp:inline distT="0" distB="0" distL="0" distR="0" wp14:anchorId="6D7B97F8" wp14:editId="3E2BECDA">
            <wp:extent cx="6126480" cy="4568190"/>
            <wp:effectExtent l="0" t="0" r="7620" b="3810"/>
            <wp:docPr id="1843849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84976" name=""/>
                    <pic:cNvPicPr/>
                  </pic:nvPicPr>
                  <pic:blipFill>
                    <a:blip r:embed="rId11"/>
                    <a:stretch>
                      <a:fillRect/>
                    </a:stretch>
                  </pic:blipFill>
                  <pic:spPr>
                    <a:xfrm>
                      <a:off x="0" y="0"/>
                      <a:ext cx="6126480" cy="4568190"/>
                    </a:xfrm>
                    <a:prstGeom prst="rect">
                      <a:avLst/>
                    </a:prstGeom>
                  </pic:spPr>
                </pic:pic>
              </a:graphicData>
            </a:graphic>
          </wp:inline>
        </w:drawing>
      </w:r>
    </w:p>
    <w:p w14:paraId="6BB3B91E" w14:textId="535F2597" w:rsidR="00244255" w:rsidRDefault="006B7B61">
      <w:pPr>
        <w:rPr>
          <w:rFonts w:ascii="Arial" w:hAnsi="Arial" w:cs="Arial"/>
          <w:color w:val="000000"/>
          <w:sz w:val="20"/>
          <w:szCs w:val="20"/>
        </w:rPr>
      </w:pPr>
      <w:r>
        <w:rPr>
          <w:rFonts w:ascii="Arial" w:hAnsi="Arial" w:cs="Arial"/>
          <w:noProof/>
          <w:color w:val="000000"/>
          <w:sz w:val="20"/>
          <w:szCs w:val="20"/>
        </w:rPr>
        <w:lastRenderedPageBreak/>
        <w:drawing>
          <wp:inline distT="0" distB="0" distL="0" distR="0" wp14:anchorId="0FFDAEF0" wp14:editId="6218D8A4">
            <wp:extent cx="6124575" cy="7921786"/>
            <wp:effectExtent l="0" t="0" r="0" b="3175"/>
            <wp:docPr id="122228752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39604" cy="7941225"/>
                    </a:xfrm>
                    <a:prstGeom prst="rect">
                      <a:avLst/>
                    </a:prstGeom>
                    <a:noFill/>
                  </pic:spPr>
                </pic:pic>
              </a:graphicData>
            </a:graphic>
          </wp:inline>
        </w:drawing>
      </w:r>
      <w:r w:rsidR="00941D66" w:rsidRPr="00941D66">
        <w:rPr>
          <w:rFonts w:ascii="Arial" w:hAnsi="Arial" w:cs="Arial"/>
          <w:color w:val="000000"/>
          <w:sz w:val="20"/>
          <w:szCs w:val="20"/>
        </w:rPr>
        <w:lastRenderedPageBreak/>
        <w:drawing>
          <wp:inline distT="0" distB="0" distL="0" distR="0" wp14:anchorId="282D258C" wp14:editId="4AA451DB">
            <wp:extent cx="6229350" cy="8040791"/>
            <wp:effectExtent l="0" t="0" r="0" b="0"/>
            <wp:docPr id="4984300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430029" name=""/>
                    <pic:cNvPicPr/>
                  </pic:nvPicPr>
                  <pic:blipFill>
                    <a:blip r:embed="rId13"/>
                    <a:stretch>
                      <a:fillRect/>
                    </a:stretch>
                  </pic:blipFill>
                  <pic:spPr>
                    <a:xfrm>
                      <a:off x="0" y="0"/>
                      <a:ext cx="6240804" cy="8055576"/>
                    </a:xfrm>
                    <a:prstGeom prst="rect">
                      <a:avLst/>
                    </a:prstGeom>
                  </pic:spPr>
                </pic:pic>
              </a:graphicData>
            </a:graphic>
          </wp:inline>
        </w:drawing>
      </w:r>
      <w:r w:rsidR="00717881" w:rsidRPr="00717881">
        <w:rPr>
          <w:rFonts w:ascii="Arial" w:hAnsi="Arial" w:cs="Arial"/>
          <w:color w:val="000000"/>
          <w:sz w:val="20"/>
          <w:szCs w:val="20"/>
        </w:rPr>
        <w:lastRenderedPageBreak/>
        <w:drawing>
          <wp:inline distT="0" distB="0" distL="0" distR="0" wp14:anchorId="1E2E0E8D" wp14:editId="180A5B8D">
            <wp:extent cx="6245851" cy="8058150"/>
            <wp:effectExtent l="0" t="0" r="3175" b="0"/>
            <wp:docPr id="16187720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772023" name=""/>
                    <pic:cNvPicPr/>
                  </pic:nvPicPr>
                  <pic:blipFill rotWithShape="1">
                    <a:blip r:embed="rId14"/>
                    <a:srcRect b="1283"/>
                    <a:stretch>
                      <a:fillRect/>
                    </a:stretch>
                  </pic:blipFill>
                  <pic:spPr bwMode="auto">
                    <a:xfrm>
                      <a:off x="0" y="0"/>
                      <a:ext cx="6259445" cy="8075689"/>
                    </a:xfrm>
                    <a:prstGeom prst="rect">
                      <a:avLst/>
                    </a:prstGeom>
                    <a:ln>
                      <a:noFill/>
                    </a:ln>
                    <a:extLst>
                      <a:ext uri="{53640926-AAD7-44D8-BBD7-CCE9431645EC}">
                        <a14:shadowObscured xmlns:a14="http://schemas.microsoft.com/office/drawing/2010/main"/>
                      </a:ext>
                    </a:extLst>
                  </pic:spPr>
                </pic:pic>
              </a:graphicData>
            </a:graphic>
          </wp:inline>
        </w:drawing>
      </w:r>
      <w:r w:rsidR="00C5508B" w:rsidRPr="00C5508B">
        <w:rPr>
          <w:rFonts w:ascii="Arial" w:hAnsi="Arial" w:cs="Arial"/>
          <w:color w:val="000000"/>
          <w:sz w:val="20"/>
          <w:szCs w:val="20"/>
        </w:rPr>
        <w:lastRenderedPageBreak/>
        <w:drawing>
          <wp:inline distT="0" distB="0" distL="0" distR="0" wp14:anchorId="748A6038" wp14:editId="12936F2F">
            <wp:extent cx="6172200" cy="8003286"/>
            <wp:effectExtent l="0" t="0" r="0" b="0"/>
            <wp:docPr id="1061954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954580" name=""/>
                    <pic:cNvPicPr/>
                  </pic:nvPicPr>
                  <pic:blipFill>
                    <a:blip r:embed="rId15"/>
                    <a:stretch>
                      <a:fillRect/>
                    </a:stretch>
                  </pic:blipFill>
                  <pic:spPr>
                    <a:xfrm>
                      <a:off x="0" y="0"/>
                      <a:ext cx="6180308" cy="8013800"/>
                    </a:xfrm>
                    <a:prstGeom prst="rect">
                      <a:avLst/>
                    </a:prstGeom>
                  </pic:spPr>
                </pic:pic>
              </a:graphicData>
            </a:graphic>
          </wp:inline>
        </w:drawing>
      </w:r>
      <w:r w:rsidR="00F65A06" w:rsidRPr="00F65A06">
        <w:rPr>
          <w:rFonts w:ascii="Arial" w:hAnsi="Arial" w:cs="Arial"/>
          <w:color w:val="000000"/>
          <w:sz w:val="20"/>
          <w:szCs w:val="20"/>
        </w:rPr>
        <w:lastRenderedPageBreak/>
        <w:drawing>
          <wp:inline distT="0" distB="0" distL="0" distR="0" wp14:anchorId="6A4058B5" wp14:editId="3CED07B5">
            <wp:extent cx="6257925" cy="8037139"/>
            <wp:effectExtent l="0" t="0" r="0" b="2540"/>
            <wp:docPr id="18540711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071100" name=""/>
                    <pic:cNvPicPr/>
                  </pic:nvPicPr>
                  <pic:blipFill>
                    <a:blip r:embed="rId16"/>
                    <a:stretch>
                      <a:fillRect/>
                    </a:stretch>
                  </pic:blipFill>
                  <pic:spPr>
                    <a:xfrm>
                      <a:off x="0" y="0"/>
                      <a:ext cx="6264246" cy="8045257"/>
                    </a:xfrm>
                    <a:prstGeom prst="rect">
                      <a:avLst/>
                    </a:prstGeom>
                  </pic:spPr>
                </pic:pic>
              </a:graphicData>
            </a:graphic>
          </wp:inline>
        </w:drawing>
      </w:r>
      <w:r w:rsidR="00BB361B" w:rsidRPr="00BB361B">
        <w:rPr>
          <w:rFonts w:ascii="Arial" w:hAnsi="Arial" w:cs="Arial"/>
          <w:color w:val="000000"/>
          <w:sz w:val="20"/>
          <w:szCs w:val="20"/>
        </w:rPr>
        <w:lastRenderedPageBreak/>
        <w:drawing>
          <wp:inline distT="0" distB="0" distL="0" distR="0" wp14:anchorId="683DE0AF" wp14:editId="70759CF6">
            <wp:extent cx="6181725" cy="7974120"/>
            <wp:effectExtent l="0" t="0" r="0" b="8255"/>
            <wp:docPr id="1199702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702198" name=""/>
                    <pic:cNvPicPr/>
                  </pic:nvPicPr>
                  <pic:blipFill>
                    <a:blip r:embed="rId17"/>
                    <a:stretch>
                      <a:fillRect/>
                    </a:stretch>
                  </pic:blipFill>
                  <pic:spPr>
                    <a:xfrm>
                      <a:off x="0" y="0"/>
                      <a:ext cx="6189751" cy="7984473"/>
                    </a:xfrm>
                    <a:prstGeom prst="rect">
                      <a:avLst/>
                    </a:prstGeom>
                  </pic:spPr>
                </pic:pic>
              </a:graphicData>
            </a:graphic>
          </wp:inline>
        </w:drawing>
      </w:r>
      <w:r w:rsidR="00E3236E" w:rsidRPr="00E3236E">
        <w:rPr>
          <w:rFonts w:ascii="Arial" w:hAnsi="Arial" w:cs="Arial"/>
          <w:color w:val="000000"/>
          <w:sz w:val="20"/>
          <w:szCs w:val="20"/>
        </w:rPr>
        <w:lastRenderedPageBreak/>
        <w:drawing>
          <wp:inline distT="0" distB="0" distL="0" distR="0" wp14:anchorId="5453171A" wp14:editId="09986BDF">
            <wp:extent cx="6219825" cy="8033941"/>
            <wp:effectExtent l="0" t="0" r="0" b="5715"/>
            <wp:docPr id="10549754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975499" name=""/>
                    <pic:cNvPicPr/>
                  </pic:nvPicPr>
                  <pic:blipFill>
                    <a:blip r:embed="rId18"/>
                    <a:stretch>
                      <a:fillRect/>
                    </a:stretch>
                  </pic:blipFill>
                  <pic:spPr>
                    <a:xfrm>
                      <a:off x="0" y="0"/>
                      <a:ext cx="6227226" cy="8043501"/>
                    </a:xfrm>
                    <a:prstGeom prst="rect">
                      <a:avLst/>
                    </a:prstGeom>
                  </pic:spPr>
                </pic:pic>
              </a:graphicData>
            </a:graphic>
          </wp:inline>
        </w:drawing>
      </w:r>
      <w:r w:rsidR="002667CA" w:rsidRPr="002667CA">
        <w:rPr>
          <w:rFonts w:ascii="Arial" w:hAnsi="Arial" w:cs="Arial"/>
          <w:color w:val="000000"/>
          <w:sz w:val="20"/>
          <w:szCs w:val="20"/>
        </w:rPr>
        <w:lastRenderedPageBreak/>
        <w:drawing>
          <wp:inline distT="0" distB="0" distL="0" distR="0" wp14:anchorId="02FD4E49" wp14:editId="147E2CC4">
            <wp:extent cx="6143625" cy="8004090"/>
            <wp:effectExtent l="0" t="0" r="0" b="0"/>
            <wp:docPr id="17159760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976033" name=""/>
                    <pic:cNvPicPr/>
                  </pic:nvPicPr>
                  <pic:blipFill>
                    <a:blip r:embed="rId19"/>
                    <a:stretch>
                      <a:fillRect/>
                    </a:stretch>
                  </pic:blipFill>
                  <pic:spPr>
                    <a:xfrm>
                      <a:off x="0" y="0"/>
                      <a:ext cx="6156634" cy="8021038"/>
                    </a:xfrm>
                    <a:prstGeom prst="rect">
                      <a:avLst/>
                    </a:prstGeom>
                  </pic:spPr>
                </pic:pic>
              </a:graphicData>
            </a:graphic>
          </wp:inline>
        </w:drawing>
      </w:r>
      <w:r w:rsidR="001C34A5" w:rsidRPr="001C34A5">
        <w:rPr>
          <w:rFonts w:ascii="Arial" w:hAnsi="Arial" w:cs="Arial"/>
          <w:color w:val="000000"/>
          <w:sz w:val="20"/>
          <w:szCs w:val="20"/>
        </w:rPr>
        <w:lastRenderedPageBreak/>
        <w:drawing>
          <wp:inline distT="0" distB="0" distL="0" distR="0" wp14:anchorId="64968577" wp14:editId="62C47201">
            <wp:extent cx="6162675" cy="7993173"/>
            <wp:effectExtent l="0" t="0" r="0" b="8255"/>
            <wp:docPr id="1077471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471883" name=""/>
                    <pic:cNvPicPr/>
                  </pic:nvPicPr>
                  <pic:blipFill>
                    <a:blip r:embed="rId20"/>
                    <a:stretch>
                      <a:fillRect/>
                    </a:stretch>
                  </pic:blipFill>
                  <pic:spPr>
                    <a:xfrm>
                      <a:off x="0" y="0"/>
                      <a:ext cx="6170942" cy="8003896"/>
                    </a:xfrm>
                    <a:prstGeom prst="rect">
                      <a:avLst/>
                    </a:prstGeom>
                  </pic:spPr>
                </pic:pic>
              </a:graphicData>
            </a:graphic>
          </wp:inline>
        </w:drawing>
      </w:r>
      <w:r w:rsidR="00BD55EE" w:rsidRPr="00BD55EE">
        <w:rPr>
          <w:rFonts w:ascii="Arial" w:hAnsi="Arial" w:cs="Arial"/>
          <w:color w:val="000000"/>
          <w:sz w:val="20"/>
          <w:szCs w:val="20"/>
        </w:rPr>
        <w:lastRenderedPageBreak/>
        <w:drawing>
          <wp:inline distT="0" distB="0" distL="0" distR="0" wp14:anchorId="518E4669" wp14:editId="5538FC25">
            <wp:extent cx="6128178" cy="7953375"/>
            <wp:effectExtent l="0" t="0" r="6350" b="0"/>
            <wp:docPr id="16560266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026672" name=""/>
                    <pic:cNvPicPr/>
                  </pic:nvPicPr>
                  <pic:blipFill>
                    <a:blip r:embed="rId21"/>
                    <a:stretch>
                      <a:fillRect/>
                    </a:stretch>
                  </pic:blipFill>
                  <pic:spPr>
                    <a:xfrm>
                      <a:off x="0" y="0"/>
                      <a:ext cx="6146044" cy="7976562"/>
                    </a:xfrm>
                    <a:prstGeom prst="rect">
                      <a:avLst/>
                    </a:prstGeom>
                  </pic:spPr>
                </pic:pic>
              </a:graphicData>
            </a:graphic>
          </wp:inline>
        </w:drawing>
      </w:r>
      <w:r w:rsidR="00985CAF" w:rsidRPr="00985CAF">
        <w:rPr>
          <w:rFonts w:ascii="Arial" w:hAnsi="Arial" w:cs="Arial"/>
          <w:color w:val="000000"/>
          <w:sz w:val="20"/>
          <w:szCs w:val="20"/>
        </w:rPr>
        <w:lastRenderedPageBreak/>
        <w:drawing>
          <wp:inline distT="0" distB="0" distL="0" distR="0" wp14:anchorId="2E0D8F60" wp14:editId="4E511080">
            <wp:extent cx="6267450" cy="7976755"/>
            <wp:effectExtent l="0" t="0" r="0" b="5715"/>
            <wp:docPr id="165739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3949" name=""/>
                    <pic:cNvPicPr/>
                  </pic:nvPicPr>
                  <pic:blipFill>
                    <a:blip r:embed="rId22"/>
                    <a:stretch>
                      <a:fillRect/>
                    </a:stretch>
                  </pic:blipFill>
                  <pic:spPr>
                    <a:xfrm>
                      <a:off x="0" y="0"/>
                      <a:ext cx="6280182" cy="7992959"/>
                    </a:xfrm>
                    <a:prstGeom prst="rect">
                      <a:avLst/>
                    </a:prstGeom>
                  </pic:spPr>
                </pic:pic>
              </a:graphicData>
            </a:graphic>
          </wp:inline>
        </w:drawing>
      </w:r>
      <w:r w:rsidR="00985CAF" w:rsidRPr="00985CAF" w:rsidDel="00A3142C">
        <w:rPr>
          <w:rFonts w:ascii="Arial" w:hAnsi="Arial" w:cs="Arial"/>
          <w:color w:val="000000"/>
          <w:sz w:val="20"/>
          <w:szCs w:val="20"/>
        </w:rPr>
        <w:t xml:space="preserve"> </w:t>
      </w:r>
    </w:p>
    <w:p w14:paraId="53E51066" w14:textId="77777777" w:rsidR="004B240C" w:rsidRDefault="00B86E68">
      <w:pPr>
        <w:rPr>
          <w:rFonts w:ascii="Arial" w:hAnsi="Arial" w:cs="Arial"/>
          <w:color w:val="000000"/>
          <w:sz w:val="20"/>
          <w:szCs w:val="20"/>
        </w:rPr>
      </w:pPr>
      <w:r w:rsidRPr="00B86E68">
        <w:rPr>
          <w:rFonts w:ascii="Arial" w:hAnsi="Arial" w:cs="Arial"/>
          <w:color w:val="000000"/>
          <w:sz w:val="20"/>
          <w:szCs w:val="20"/>
        </w:rPr>
        <w:lastRenderedPageBreak/>
        <w:drawing>
          <wp:inline distT="0" distB="0" distL="0" distR="0" wp14:anchorId="7FF8F219" wp14:editId="027FDDAB">
            <wp:extent cx="6257925" cy="8029622"/>
            <wp:effectExtent l="0" t="0" r="0" b="9525"/>
            <wp:docPr id="11253535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353542" name=""/>
                    <pic:cNvPicPr/>
                  </pic:nvPicPr>
                  <pic:blipFill>
                    <a:blip r:embed="rId23"/>
                    <a:stretch>
                      <a:fillRect/>
                    </a:stretch>
                  </pic:blipFill>
                  <pic:spPr>
                    <a:xfrm>
                      <a:off x="0" y="0"/>
                      <a:ext cx="6268867" cy="8043662"/>
                    </a:xfrm>
                    <a:prstGeom prst="rect">
                      <a:avLst/>
                    </a:prstGeom>
                  </pic:spPr>
                </pic:pic>
              </a:graphicData>
            </a:graphic>
          </wp:inline>
        </w:drawing>
      </w:r>
      <w:r w:rsidRPr="00B86E68" w:rsidDel="00A3142C">
        <w:rPr>
          <w:rFonts w:ascii="Arial" w:hAnsi="Arial" w:cs="Arial"/>
          <w:color w:val="000000"/>
          <w:sz w:val="20"/>
          <w:szCs w:val="20"/>
        </w:rPr>
        <w:t xml:space="preserve"> </w:t>
      </w:r>
    </w:p>
    <w:p w14:paraId="042A12A6" w14:textId="13AC235B" w:rsidR="00C756C0" w:rsidRPr="001B1A5A" w:rsidRDefault="004B240C" w:rsidP="424FC929">
      <w:pPr>
        <w:autoSpaceDE w:val="0"/>
        <w:autoSpaceDN w:val="0"/>
        <w:adjustRightInd w:val="0"/>
        <w:rPr>
          <w:rFonts w:ascii="Arial" w:hAnsi="Arial" w:cs="Arial"/>
          <w:color w:val="000000"/>
          <w:sz w:val="20"/>
          <w:szCs w:val="20"/>
        </w:rPr>
      </w:pPr>
      <w:r w:rsidRPr="004B240C">
        <w:rPr>
          <w:rFonts w:ascii="Arial" w:hAnsi="Arial" w:cs="Arial"/>
          <w:color w:val="000000"/>
          <w:sz w:val="20"/>
          <w:szCs w:val="20"/>
        </w:rPr>
        <w:lastRenderedPageBreak/>
        <w:drawing>
          <wp:inline distT="0" distB="0" distL="0" distR="0" wp14:anchorId="0E67B346" wp14:editId="1E6D912B">
            <wp:extent cx="6354253" cy="8010525"/>
            <wp:effectExtent l="0" t="0" r="8890" b="0"/>
            <wp:docPr id="20662431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243113" name=""/>
                    <pic:cNvPicPr/>
                  </pic:nvPicPr>
                  <pic:blipFill>
                    <a:blip r:embed="rId24"/>
                    <a:stretch>
                      <a:fillRect/>
                    </a:stretch>
                  </pic:blipFill>
                  <pic:spPr>
                    <a:xfrm>
                      <a:off x="0" y="0"/>
                      <a:ext cx="6365699" cy="8024954"/>
                    </a:xfrm>
                    <a:prstGeom prst="rect">
                      <a:avLst/>
                    </a:prstGeom>
                  </pic:spPr>
                </pic:pic>
              </a:graphicData>
            </a:graphic>
          </wp:inline>
        </w:drawing>
      </w:r>
      <w:r w:rsidRPr="004B240C" w:rsidDel="00A3142C">
        <w:rPr>
          <w:rFonts w:ascii="Arial" w:hAnsi="Arial" w:cs="Arial"/>
          <w:color w:val="000000"/>
          <w:sz w:val="20"/>
          <w:szCs w:val="20"/>
        </w:rPr>
        <w:t xml:space="preserve"> </w:t>
      </w:r>
    </w:p>
    <w:p w14:paraId="3870426E" w14:textId="1723CF04" w:rsidR="424FC929" w:rsidRDefault="424FC929" w:rsidP="424FC929">
      <w:pPr>
        <w:rPr>
          <w:rFonts w:ascii="Arial" w:hAnsi="Arial" w:cs="Arial"/>
          <w:color w:val="000000" w:themeColor="text1"/>
          <w:sz w:val="20"/>
          <w:szCs w:val="20"/>
        </w:rPr>
      </w:pPr>
    </w:p>
    <w:p w14:paraId="0CE16050" w14:textId="7FB1B7ED" w:rsidR="6DB8D64A" w:rsidRDefault="6DB8D64A" w:rsidP="006D5479">
      <w:pPr>
        <w:spacing w:line="259" w:lineRule="auto"/>
        <w:ind w:left="10" w:hanging="10"/>
        <w:jc w:val="both"/>
        <w:rPr>
          <w:rFonts w:ascii="Calibri" w:eastAsia="Calibri" w:hAnsi="Calibri" w:cs="Calibri"/>
          <w:color w:val="1B242C"/>
          <w:sz w:val="14"/>
          <w:szCs w:val="14"/>
        </w:rPr>
      </w:pPr>
      <w:r w:rsidRPr="424FC929">
        <w:rPr>
          <w:rFonts w:ascii="Calibri" w:eastAsia="Calibri" w:hAnsi="Calibri" w:cs="Calibri"/>
          <w:color w:val="1B242C"/>
          <w:sz w:val="18"/>
          <w:szCs w:val="18"/>
        </w:rPr>
        <w:t>*</w:t>
      </w:r>
      <w:r w:rsidRPr="424FC929">
        <w:rPr>
          <w:rFonts w:ascii="Calibri" w:eastAsia="Calibri" w:hAnsi="Calibri" w:cs="Calibri"/>
          <w:color w:val="1B242C"/>
          <w:sz w:val="14"/>
          <w:szCs w:val="14"/>
        </w:rPr>
        <w:t>These drugs have been discontinued and are not marketed in the United States.</w:t>
      </w:r>
    </w:p>
    <w:p w14:paraId="15B90268" w14:textId="593F2236" w:rsidR="6DB8D64A" w:rsidRDefault="6DB8D64A" w:rsidP="006D5479">
      <w:pPr>
        <w:spacing w:after="161" w:line="257" w:lineRule="auto"/>
        <w:rPr>
          <w:rFonts w:ascii="Calibri" w:eastAsia="Calibri" w:hAnsi="Calibri" w:cs="Calibri"/>
          <w:color w:val="1B242C"/>
          <w:sz w:val="14"/>
          <w:szCs w:val="14"/>
        </w:rPr>
      </w:pPr>
      <w:r w:rsidRPr="424FC929">
        <w:rPr>
          <w:rFonts w:ascii="Calibri" w:eastAsia="Calibri" w:hAnsi="Calibri" w:cs="Calibri"/>
          <w:color w:val="1B242C"/>
          <w:sz w:val="14"/>
          <w:szCs w:val="14"/>
        </w:rPr>
        <w:t xml:space="preserve"> </w:t>
      </w:r>
      <w:r w:rsidR="58D4CCD4" w:rsidRPr="424FC929">
        <w:rPr>
          <w:rFonts w:ascii="Calibri" w:eastAsia="Calibri" w:hAnsi="Calibri" w:cs="Calibri"/>
          <w:color w:val="1B242C"/>
          <w:sz w:val="14"/>
          <w:szCs w:val="14"/>
          <w:vertAlign w:val="superscript"/>
        </w:rPr>
        <w:t>† These</w:t>
      </w:r>
      <w:r w:rsidRPr="424FC929">
        <w:rPr>
          <w:rFonts w:ascii="Calibri" w:eastAsia="Calibri" w:hAnsi="Calibri" w:cs="Calibri"/>
          <w:color w:val="1B242C"/>
          <w:sz w:val="14"/>
          <w:szCs w:val="14"/>
        </w:rPr>
        <w:t xml:space="preserve"> drug names are also on the FDA list. </w:t>
      </w:r>
    </w:p>
    <w:p w14:paraId="39F36F9F" w14:textId="77A06940" w:rsidR="6DB8D64A" w:rsidRDefault="6DB8D64A" w:rsidP="006D5479">
      <w:pPr>
        <w:spacing w:after="1076" w:line="269" w:lineRule="auto"/>
        <w:ind w:left="160" w:hanging="160"/>
        <w:rPr>
          <w:rFonts w:ascii="Calibri" w:eastAsia="Calibri" w:hAnsi="Calibri" w:cs="Calibri"/>
          <w:color w:val="1B242C"/>
          <w:sz w:val="14"/>
          <w:szCs w:val="14"/>
        </w:rPr>
      </w:pPr>
      <w:r w:rsidRPr="424FC929">
        <w:rPr>
          <w:rFonts w:ascii="Calibri" w:eastAsia="Calibri" w:hAnsi="Calibri" w:cs="Calibri"/>
          <w:color w:val="1B242C"/>
          <w:sz w:val="18"/>
          <w:szCs w:val="18"/>
        </w:rPr>
        <w:t xml:space="preserve"> </w:t>
      </w:r>
      <w:r w:rsidRPr="424FC929">
        <w:rPr>
          <w:rFonts w:ascii="Calibri" w:eastAsia="Calibri" w:hAnsi="Calibri" w:cs="Calibri"/>
          <w:color w:val="1B242C"/>
          <w:sz w:val="14"/>
          <w:szCs w:val="14"/>
          <w:vertAlign w:val="superscript"/>
        </w:rPr>
        <w:t>‡</w:t>
      </w:r>
      <w:r w:rsidRPr="424FC929">
        <w:rPr>
          <w:rFonts w:ascii="Calibri" w:eastAsia="Calibri" w:hAnsi="Calibri" w:cs="Calibri"/>
          <w:color w:val="1B242C"/>
          <w:sz w:val="14"/>
          <w:szCs w:val="14"/>
        </w:rPr>
        <w:t xml:space="preserve"> Brand names always start with an uppercase letter. Some brand names incorporate tall man letters in initial characters and may not be readily recognized as brand names. A double dagger follows all brand names on the ISMP list.</w:t>
      </w:r>
    </w:p>
    <w:p w14:paraId="7C8FD228" w14:textId="42652EF6" w:rsidR="3BEC38DA" w:rsidRDefault="3BEC38DA" w:rsidP="006D5479">
      <w:pPr>
        <w:spacing w:line="259" w:lineRule="auto"/>
        <w:ind w:left="10" w:hanging="10"/>
        <w:jc w:val="both"/>
        <w:rPr>
          <w:rFonts w:ascii="Calibri" w:eastAsia="Calibri" w:hAnsi="Calibri" w:cs="Calibri"/>
          <w:sz w:val="18"/>
          <w:szCs w:val="18"/>
        </w:rPr>
      </w:pPr>
      <w:r w:rsidRPr="424FC929">
        <w:rPr>
          <w:rFonts w:ascii="Calibri" w:eastAsia="Calibri" w:hAnsi="Calibri" w:cs="Calibri"/>
          <w:i/>
          <w:iCs/>
          <w:sz w:val="18"/>
          <w:szCs w:val="18"/>
        </w:rPr>
        <w:t xml:space="preserve">To promote standardization regarding which letters to present in uppercase, ISMP follows a tested methodology whenever possible called the CD3 rule.15 </w:t>
      </w:r>
      <w:r w:rsidRPr="424FC929">
        <w:rPr>
          <w:rFonts w:ascii="Calibri" w:eastAsia="Calibri" w:hAnsi="Calibri" w:cs="Calibri"/>
          <w:sz w:val="18"/>
          <w:szCs w:val="18"/>
        </w:rPr>
        <w:t xml:space="preserve">The methodology suggests working from the left of the drug name first by capitalizing all the characters to the right once 2 or more dissimilar letters are encountered, and then, working from the right, returning 2 or more letters common to both words to lowercase letters. When the rule cannot be applied because there are no common letters on the right side of the name, the methodology suggests capitalizing the central part of the word only. When application of this rule fails to lead to the best tall man lettering option (e.g., makes names appear too similar, makes names hard to read based on pronunciation), an alternative option is considered. ISMP suggests that the bolded, tall man lettering scheme provided by FDA and ISMP for the drug name pairs listed in </w:t>
      </w:r>
      <w:r w:rsidRPr="424FC929">
        <w:rPr>
          <w:rFonts w:ascii="Calibri" w:eastAsia="Calibri" w:hAnsi="Calibri" w:cs="Calibri"/>
          <w:b/>
          <w:bCs/>
          <w:sz w:val="18"/>
          <w:szCs w:val="18"/>
        </w:rPr>
        <w:t>Tables 1</w:t>
      </w:r>
      <w:r w:rsidRPr="424FC929">
        <w:rPr>
          <w:rFonts w:ascii="Calibri" w:eastAsia="Calibri" w:hAnsi="Calibri" w:cs="Calibri"/>
          <w:sz w:val="18"/>
          <w:szCs w:val="18"/>
        </w:rPr>
        <w:t xml:space="preserve"> and </w:t>
      </w:r>
      <w:r w:rsidRPr="424FC929">
        <w:rPr>
          <w:rFonts w:ascii="Calibri" w:eastAsia="Calibri" w:hAnsi="Calibri" w:cs="Calibri"/>
          <w:b/>
          <w:bCs/>
          <w:sz w:val="18"/>
          <w:szCs w:val="18"/>
        </w:rPr>
        <w:t>2</w:t>
      </w:r>
      <w:r w:rsidRPr="424FC929">
        <w:rPr>
          <w:rFonts w:ascii="Calibri" w:eastAsia="Calibri" w:hAnsi="Calibri" w:cs="Calibri"/>
          <w:sz w:val="18"/>
          <w:szCs w:val="18"/>
        </w:rPr>
        <w:t xml:space="preserve"> be followed to promote consistency.</w:t>
      </w:r>
    </w:p>
    <w:p w14:paraId="3EC76A22" w14:textId="033F813B" w:rsidR="00B60A8E" w:rsidRDefault="00B60A8E" w:rsidP="006D5479">
      <w:pPr>
        <w:spacing w:line="259" w:lineRule="auto"/>
        <w:ind w:left="10" w:hanging="10"/>
        <w:jc w:val="both"/>
        <w:rPr>
          <w:rFonts w:ascii="Calibri" w:eastAsia="Calibri" w:hAnsi="Calibri" w:cs="Calibri"/>
          <w:sz w:val="18"/>
          <w:szCs w:val="18"/>
        </w:rPr>
      </w:pPr>
    </w:p>
    <w:p w14:paraId="54D9ED53" w14:textId="77777777" w:rsidR="00B60A8E" w:rsidRDefault="00B60A8E" w:rsidP="00B60A8E">
      <w:pPr>
        <w:spacing w:before="119" w:line="249" w:lineRule="auto"/>
        <w:ind w:left="1173" w:right="3071" w:hanging="214"/>
        <w:rPr>
          <w:rFonts w:ascii="Arial"/>
          <w:i/>
          <w:sz w:val="14"/>
        </w:rPr>
      </w:pPr>
      <w:r>
        <w:rPr>
          <w:rFonts w:ascii="Arial"/>
          <w:i/>
          <w:color w:val="32595C"/>
          <w:sz w:val="14"/>
        </w:rPr>
        <w:t>Brand</w:t>
      </w:r>
      <w:r>
        <w:rPr>
          <w:rFonts w:ascii="Arial"/>
          <w:i/>
          <w:color w:val="32595C"/>
          <w:spacing w:val="-2"/>
          <w:sz w:val="14"/>
        </w:rPr>
        <w:t xml:space="preserve"> </w:t>
      </w:r>
      <w:r>
        <w:rPr>
          <w:rFonts w:ascii="Arial"/>
          <w:i/>
          <w:color w:val="32595C"/>
          <w:sz w:val="14"/>
        </w:rPr>
        <w:t>names</w:t>
      </w:r>
      <w:r>
        <w:rPr>
          <w:rFonts w:ascii="Arial"/>
          <w:i/>
          <w:color w:val="32595C"/>
          <w:spacing w:val="-2"/>
          <w:sz w:val="14"/>
        </w:rPr>
        <w:t xml:space="preserve"> </w:t>
      </w:r>
      <w:r>
        <w:rPr>
          <w:rFonts w:ascii="Arial"/>
          <w:i/>
          <w:color w:val="32595C"/>
          <w:sz w:val="14"/>
        </w:rPr>
        <w:t>always</w:t>
      </w:r>
      <w:r>
        <w:rPr>
          <w:rFonts w:ascii="Arial"/>
          <w:i/>
          <w:color w:val="32595C"/>
          <w:spacing w:val="-2"/>
          <w:sz w:val="14"/>
        </w:rPr>
        <w:t xml:space="preserve"> </w:t>
      </w:r>
      <w:r>
        <w:rPr>
          <w:rFonts w:ascii="Arial"/>
          <w:i/>
          <w:color w:val="32595C"/>
          <w:sz w:val="14"/>
        </w:rPr>
        <w:t>start</w:t>
      </w:r>
      <w:r>
        <w:rPr>
          <w:rFonts w:ascii="Arial"/>
          <w:i/>
          <w:color w:val="32595C"/>
          <w:spacing w:val="-2"/>
          <w:sz w:val="14"/>
        </w:rPr>
        <w:t xml:space="preserve"> </w:t>
      </w:r>
      <w:r>
        <w:rPr>
          <w:rFonts w:ascii="Arial"/>
          <w:i/>
          <w:color w:val="32595C"/>
          <w:sz w:val="14"/>
        </w:rPr>
        <w:t>with</w:t>
      </w:r>
      <w:r>
        <w:rPr>
          <w:rFonts w:ascii="Arial"/>
          <w:i/>
          <w:color w:val="32595C"/>
          <w:spacing w:val="-2"/>
          <w:sz w:val="14"/>
        </w:rPr>
        <w:t xml:space="preserve"> </w:t>
      </w:r>
      <w:r>
        <w:rPr>
          <w:rFonts w:ascii="Arial"/>
          <w:i/>
          <w:color w:val="32595C"/>
          <w:sz w:val="14"/>
        </w:rPr>
        <w:t>an</w:t>
      </w:r>
      <w:r>
        <w:rPr>
          <w:rFonts w:ascii="Arial"/>
          <w:i/>
          <w:color w:val="32595C"/>
          <w:spacing w:val="-2"/>
          <w:sz w:val="14"/>
        </w:rPr>
        <w:t xml:space="preserve"> </w:t>
      </w:r>
      <w:r>
        <w:rPr>
          <w:rFonts w:ascii="Arial"/>
          <w:i/>
          <w:color w:val="32595C"/>
          <w:sz w:val="14"/>
        </w:rPr>
        <w:t>uppercase</w:t>
      </w:r>
      <w:r>
        <w:rPr>
          <w:rFonts w:ascii="Arial"/>
          <w:i/>
          <w:color w:val="32595C"/>
          <w:spacing w:val="-2"/>
          <w:sz w:val="14"/>
        </w:rPr>
        <w:t xml:space="preserve"> </w:t>
      </w:r>
      <w:r>
        <w:rPr>
          <w:rFonts w:ascii="Arial"/>
          <w:i/>
          <w:color w:val="32595C"/>
          <w:sz w:val="14"/>
        </w:rPr>
        <w:t>letter.</w:t>
      </w:r>
      <w:r>
        <w:rPr>
          <w:rFonts w:ascii="Arial"/>
          <w:i/>
          <w:color w:val="32595C"/>
          <w:spacing w:val="-2"/>
          <w:sz w:val="14"/>
        </w:rPr>
        <w:t xml:space="preserve"> </w:t>
      </w:r>
      <w:r>
        <w:rPr>
          <w:rFonts w:ascii="Arial"/>
          <w:i/>
          <w:color w:val="32595C"/>
          <w:sz w:val="14"/>
        </w:rPr>
        <w:t>Some</w:t>
      </w:r>
      <w:r>
        <w:rPr>
          <w:rFonts w:ascii="Arial"/>
          <w:i/>
          <w:color w:val="32595C"/>
          <w:spacing w:val="-2"/>
          <w:sz w:val="14"/>
        </w:rPr>
        <w:t xml:space="preserve"> </w:t>
      </w:r>
      <w:r>
        <w:rPr>
          <w:rFonts w:ascii="Arial"/>
          <w:i/>
          <w:color w:val="32595C"/>
          <w:sz w:val="14"/>
        </w:rPr>
        <w:t>brand</w:t>
      </w:r>
      <w:r>
        <w:rPr>
          <w:rFonts w:ascii="Arial"/>
          <w:i/>
          <w:color w:val="32595C"/>
          <w:spacing w:val="-2"/>
          <w:sz w:val="14"/>
        </w:rPr>
        <w:t xml:space="preserve"> </w:t>
      </w:r>
      <w:r>
        <w:rPr>
          <w:rFonts w:ascii="Arial"/>
          <w:i/>
          <w:color w:val="32595C"/>
          <w:sz w:val="14"/>
        </w:rPr>
        <w:t>names</w:t>
      </w:r>
      <w:r>
        <w:rPr>
          <w:rFonts w:ascii="Arial"/>
          <w:i/>
          <w:color w:val="32595C"/>
          <w:spacing w:val="-2"/>
          <w:sz w:val="14"/>
        </w:rPr>
        <w:t xml:space="preserve"> </w:t>
      </w:r>
      <w:r>
        <w:rPr>
          <w:rFonts w:ascii="Arial"/>
          <w:i/>
          <w:color w:val="32595C"/>
          <w:sz w:val="14"/>
        </w:rPr>
        <w:t>incorporate</w:t>
      </w:r>
      <w:r>
        <w:rPr>
          <w:rFonts w:ascii="Arial"/>
          <w:i/>
          <w:color w:val="32595C"/>
          <w:spacing w:val="-2"/>
          <w:sz w:val="14"/>
        </w:rPr>
        <w:t xml:space="preserve"> </w:t>
      </w:r>
      <w:r>
        <w:rPr>
          <w:rFonts w:ascii="Arial"/>
          <w:i/>
          <w:color w:val="32595C"/>
          <w:sz w:val="14"/>
        </w:rPr>
        <w:t>tall</w:t>
      </w:r>
      <w:r>
        <w:rPr>
          <w:rFonts w:ascii="Arial"/>
          <w:i/>
          <w:color w:val="32595C"/>
          <w:spacing w:val="-2"/>
          <w:sz w:val="14"/>
        </w:rPr>
        <w:t xml:space="preserve"> </w:t>
      </w:r>
      <w:r>
        <w:rPr>
          <w:rFonts w:ascii="Arial"/>
          <w:i/>
          <w:color w:val="32595C"/>
          <w:sz w:val="14"/>
        </w:rPr>
        <w:t>man</w:t>
      </w:r>
      <w:r>
        <w:rPr>
          <w:rFonts w:ascii="Arial"/>
          <w:i/>
          <w:color w:val="32595C"/>
          <w:spacing w:val="-2"/>
          <w:sz w:val="14"/>
        </w:rPr>
        <w:t xml:space="preserve"> </w:t>
      </w:r>
      <w:r>
        <w:rPr>
          <w:rFonts w:ascii="Arial"/>
          <w:i/>
          <w:color w:val="32595C"/>
          <w:sz w:val="14"/>
        </w:rPr>
        <w:t>letters</w:t>
      </w:r>
      <w:r>
        <w:rPr>
          <w:rFonts w:ascii="Arial"/>
          <w:i/>
          <w:color w:val="32595C"/>
          <w:spacing w:val="-2"/>
          <w:sz w:val="14"/>
        </w:rPr>
        <w:t xml:space="preserve"> </w:t>
      </w:r>
      <w:r>
        <w:rPr>
          <w:rFonts w:ascii="Arial"/>
          <w:i/>
          <w:color w:val="32595C"/>
          <w:sz w:val="14"/>
        </w:rPr>
        <w:t>in</w:t>
      </w:r>
      <w:r>
        <w:rPr>
          <w:rFonts w:ascii="Arial"/>
          <w:i/>
          <w:color w:val="32595C"/>
          <w:spacing w:val="-2"/>
          <w:sz w:val="14"/>
        </w:rPr>
        <w:t xml:space="preserve"> </w:t>
      </w:r>
      <w:r>
        <w:rPr>
          <w:rFonts w:ascii="Arial"/>
          <w:i/>
          <w:color w:val="32595C"/>
          <w:sz w:val="14"/>
        </w:rPr>
        <w:t>initial</w:t>
      </w:r>
      <w:r>
        <w:rPr>
          <w:rFonts w:ascii="Arial"/>
          <w:i/>
          <w:color w:val="32595C"/>
          <w:spacing w:val="-2"/>
          <w:sz w:val="14"/>
        </w:rPr>
        <w:t xml:space="preserve"> </w:t>
      </w:r>
      <w:r>
        <w:rPr>
          <w:rFonts w:ascii="Arial"/>
          <w:i/>
          <w:color w:val="32595C"/>
          <w:sz w:val="14"/>
        </w:rPr>
        <w:t>characters</w:t>
      </w:r>
      <w:r>
        <w:rPr>
          <w:rFonts w:ascii="Arial"/>
          <w:i/>
          <w:color w:val="32595C"/>
          <w:spacing w:val="-2"/>
          <w:sz w:val="14"/>
        </w:rPr>
        <w:t xml:space="preserve"> </w:t>
      </w:r>
      <w:r>
        <w:rPr>
          <w:rFonts w:ascii="Arial"/>
          <w:i/>
          <w:color w:val="32595C"/>
          <w:sz w:val="14"/>
        </w:rPr>
        <w:t>and</w:t>
      </w:r>
      <w:r>
        <w:rPr>
          <w:rFonts w:ascii="Arial"/>
          <w:i/>
          <w:color w:val="32595C"/>
          <w:spacing w:val="-1"/>
          <w:sz w:val="14"/>
        </w:rPr>
        <w:t xml:space="preserve"> </w:t>
      </w:r>
      <w:r>
        <w:rPr>
          <w:rFonts w:ascii="Arial"/>
          <w:i/>
          <w:color w:val="32595C"/>
          <w:sz w:val="14"/>
        </w:rPr>
        <w:t>may</w:t>
      </w:r>
      <w:r>
        <w:rPr>
          <w:rFonts w:ascii="Arial"/>
          <w:i/>
          <w:color w:val="32595C"/>
          <w:spacing w:val="40"/>
          <w:sz w:val="14"/>
        </w:rPr>
        <w:t xml:space="preserve"> </w:t>
      </w:r>
      <w:r>
        <w:rPr>
          <w:rFonts w:ascii="Arial"/>
          <w:i/>
          <w:color w:val="32595C"/>
          <w:sz w:val="14"/>
        </w:rPr>
        <w:t>not be readily recognized as brand names. An asterisk follows all brand names on the ISMP list.</w:t>
      </w:r>
    </w:p>
    <w:p w14:paraId="477262D7" w14:textId="77777777" w:rsidR="00B60A8E" w:rsidRDefault="00B60A8E" w:rsidP="00B60A8E">
      <w:pPr>
        <w:spacing w:before="1"/>
        <w:ind w:left="959"/>
        <w:rPr>
          <w:rFonts w:ascii="Arial"/>
          <w:i/>
          <w:sz w:val="14"/>
        </w:rPr>
      </w:pPr>
      <w:r>
        <w:rPr>
          <w:rFonts w:ascii="Arial"/>
          <w:i/>
          <w:color w:val="32595C"/>
          <w:sz w:val="14"/>
        </w:rPr>
        <w:t>**</w:t>
      </w:r>
      <w:r>
        <w:rPr>
          <w:rFonts w:ascii="Arial"/>
          <w:i/>
          <w:color w:val="32595C"/>
          <w:spacing w:val="41"/>
          <w:sz w:val="14"/>
        </w:rPr>
        <w:t xml:space="preserve"> </w:t>
      </w:r>
      <w:r>
        <w:rPr>
          <w:rFonts w:ascii="Arial"/>
          <w:i/>
          <w:color w:val="32595C"/>
          <w:sz w:val="14"/>
        </w:rPr>
        <w:t>These</w:t>
      </w:r>
      <w:r>
        <w:rPr>
          <w:rFonts w:ascii="Arial"/>
          <w:i/>
          <w:color w:val="32595C"/>
          <w:spacing w:val="2"/>
          <w:sz w:val="14"/>
        </w:rPr>
        <w:t xml:space="preserve"> </w:t>
      </w:r>
      <w:r>
        <w:rPr>
          <w:rFonts w:ascii="Arial"/>
          <w:i/>
          <w:color w:val="32595C"/>
          <w:sz w:val="14"/>
        </w:rPr>
        <w:t>drug</w:t>
      </w:r>
      <w:r>
        <w:rPr>
          <w:rFonts w:ascii="Arial"/>
          <w:i/>
          <w:color w:val="32595C"/>
          <w:spacing w:val="1"/>
          <w:sz w:val="14"/>
        </w:rPr>
        <w:t xml:space="preserve"> </w:t>
      </w:r>
      <w:r>
        <w:rPr>
          <w:rFonts w:ascii="Arial"/>
          <w:i/>
          <w:color w:val="32595C"/>
          <w:sz w:val="14"/>
        </w:rPr>
        <w:t>names</w:t>
      </w:r>
      <w:r>
        <w:rPr>
          <w:rFonts w:ascii="Arial"/>
          <w:i/>
          <w:color w:val="32595C"/>
          <w:spacing w:val="1"/>
          <w:sz w:val="14"/>
        </w:rPr>
        <w:t xml:space="preserve"> </w:t>
      </w:r>
      <w:r>
        <w:rPr>
          <w:rFonts w:ascii="Arial"/>
          <w:i/>
          <w:color w:val="32595C"/>
          <w:sz w:val="14"/>
        </w:rPr>
        <w:t>are</w:t>
      </w:r>
      <w:r>
        <w:rPr>
          <w:rFonts w:ascii="Arial"/>
          <w:i/>
          <w:color w:val="32595C"/>
          <w:spacing w:val="2"/>
          <w:sz w:val="14"/>
        </w:rPr>
        <w:t xml:space="preserve"> </w:t>
      </w:r>
      <w:r>
        <w:rPr>
          <w:rFonts w:ascii="Arial"/>
          <w:i/>
          <w:color w:val="32595C"/>
          <w:sz w:val="14"/>
        </w:rPr>
        <w:t>also</w:t>
      </w:r>
      <w:r>
        <w:rPr>
          <w:rFonts w:ascii="Arial"/>
          <w:i/>
          <w:color w:val="32595C"/>
          <w:spacing w:val="1"/>
          <w:sz w:val="14"/>
        </w:rPr>
        <w:t xml:space="preserve"> </w:t>
      </w:r>
      <w:r>
        <w:rPr>
          <w:rFonts w:ascii="Arial"/>
          <w:i/>
          <w:color w:val="32595C"/>
          <w:sz w:val="14"/>
        </w:rPr>
        <w:t>on</w:t>
      </w:r>
      <w:r>
        <w:rPr>
          <w:rFonts w:ascii="Arial"/>
          <w:i/>
          <w:color w:val="32595C"/>
          <w:spacing w:val="2"/>
          <w:sz w:val="14"/>
        </w:rPr>
        <w:t xml:space="preserve"> </w:t>
      </w:r>
      <w:r>
        <w:rPr>
          <w:rFonts w:ascii="Arial"/>
          <w:i/>
          <w:color w:val="32595C"/>
          <w:sz w:val="14"/>
        </w:rPr>
        <w:t>the</w:t>
      </w:r>
      <w:r>
        <w:rPr>
          <w:rFonts w:ascii="Arial"/>
          <w:i/>
          <w:color w:val="32595C"/>
          <w:spacing w:val="1"/>
          <w:sz w:val="14"/>
        </w:rPr>
        <w:t xml:space="preserve"> </w:t>
      </w:r>
      <w:r>
        <w:rPr>
          <w:rFonts w:ascii="Arial"/>
          <w:i/>
          <w:color w:val="32595C"/>
          <w:sz w:val="14"/>
        </w:rPr>
        <w:t>FDA</w:t>
      </w:r>
      <w:r>
        <w:rPr>
          <w:rFonts w:ascii="Arial"/>
          <w:i/>
          <w:color w:val="32595C"/>
          <w:spacing w:val="-3"/>
          <w:sz w:val="14"/>
        </w:rPr>
        <w:t xml:space="preserve"> </w:t>
      </w:r>
      <w:r>
        <w:rPr>
          <w:rFonts w:ascii="Arial"/>
          <w:i/>
          <w:color w:val="32595C"/>
          <w:spacing w:val="-2"/>
          <w:sz w:val="14"/>
        </w:rPr>
        <w:t>list.</w:t>
      </w:r>
    </w:p>
    <w:p w14:paraId="0A46BC35" w14:textId="77777777" w:rsidR="00B60A8E" w:rsidRDefault="00B60A8E" w:rsidP="00B60A8E">
      <w:pPr>
        <w:spacing w:before="7" w:line="249" w:lineRule="auto"/>
        <w:ind w:left="1173" w:right="3602" w:hanging="214"/>
        <w:rPr>
          <w:rFonts w:ascii="Arial" w:hAnsi="Arial"/>
          <w:i/>
          <w:sz w:val="14"/>
        </w:rPr>
      </w:pPr>
      <w:r>
        <w:rPr>
          <w:rFonts w:ascii="Arial" w:hAnsi="Arial"/>
          <w:i/>
          <w:color w:val="32595C"/>
          <w:sz w:val="14"/>
        </w:rPr>
        <w:t>*** The ISMP</w:t>
      </w:r>
      <w:r>
        <w:rPr>
          <w:rFonts w:ascii="Arial" w:hAnsi="Arial"/>
          <w:i/>
          <w:color w:val="32595C"/>
          <w:spacing w:val="-3"/>
          <w:sz w:val="14"/>
        </w:rPr>
        <w:t xml:space="preserve"> </w:t>
      </w:r>
      <w:r>
        <w:rPr>
          <w:rFonts w:ascii="Arial" w:hAnsi="Arial"/>
          <w:i/>
          <w:color w:val="32595C"/>
          <w:sz w:val="14"/>
        </w:rPr>
        <w:t>list is not an official list approved by FDA. It is intended for voluntary use by healthcare practitioners and drug</w:t>
      </w:r>
      <w:r>
        <w:rPr>
          <w:rFonts w:ascii="Arial" w:hAnsi="Arial"/>
          <w:i/>
          <w:color w:val="32595C"/>
          <w:spacing w:val="40"/>
          <w:sz w:val="14"/>
        </w:rPr>
        <w:t xml:space="preserve"> </w:t>
      </w:r>
      <w:r>
        <w:rPr>
          <w:rFonts w:ascii="Arial" w:hAnsi="Arial"/>
          <w:i/>
          <w:color w:val="32595C"/>
          <w:sz w:val="14"/>
        </w:rPr>
        <w:t>information and technology vendors. Any manufacturers’ product label changes require FDA approval.</w:t>
      </w:r>
    </w:p>
    <w:p w14:paraId="364D76F9" w14:textId="77777777" w:rsidR="00B60A8E" w:rsidRDefault="00B60A8E" w:rsidP="006D5479">
      <w:pPr>
        <w:spacing w:line="259" w:lineRule="auto"/>
        <w:ind w:left="10" w:hanging="10"/>
        <w:jc w:val="both"/>
        <w:rPr>
          <w:rFonts w:ascii="Calibri" w:eastAsia="Calibri" w:hAnsi="Calibri" w:cs="Calibri"/>
          <w:sz w:val="18"/>
          <w:szCs w:val="18"/>
        </w:rPr>
      </w:pPr>
    </w:p>
    <w:p w14:paraId="0C030FA0" w14:textId="4B7AE878" w:rsidR="00837D1F" w:rsidRPr="00FD4427" w:rsidRDefault="6DB8D64A" w:rsidP="00520F3F">
      <w:pPr>
        <w:spacing w:line="259" w:lineRule="auto"/>
        <w:rPr>
          <w:rFonts w:ascii="Arial" w:hAnsi="Arial" w:cs="Arial"/>
          <w:sz w:val="16"/>
          <w:szCs w:val="16"/>
        </w:rPr>
      </w:pPr>
      <w:r>
        <w:br/>
      </w:r>
      <w:r w:rsidR="00837D1F" w:rsidRPr="00FD4427">
        <w:rPr>
          <w:rFonts w:ascii="Arial" w:hAnsi="Arial" w:cs="Arial"/>
          <w:sz w:val="16"/>
          <w:szCs w:val="16"/>
        </w:rPr>
        <w:t>Approved by ELT:</w:t>
      </w:r>
      <w:r w:rsidR="00FD4427" w:rsidRPr="00FD4427">
        <w:rPr>
          <w:rFonts w:ascii="Arial" w:hAnsi="Arial" w:cs="Arial"/>
          <w:sz w:val="16"/>
          <w:szCs w:val="16"/>
        </w:rPr>
        <w:t xml:space="preserve"> </w:t>
      </w:r>
      <w:r w:rsidR="00837D1F" w:rsidRPr="00FD4427">
        <w:rPr>
          <w:rFonts w:ascii="Arial" w:hAnsi="Arial" w:cs="Arial"/>
          <w:sz w:val="16"/>
          <w:szCs w:val="16"/>
        </w:rPr>
        <w:t>4/01/05</w:t>
      </w:r>
    </w:p>
    <w:p w14:paraId="06230D39" w14:textId="7D3D79E1" w:rsidR="00520F3F" w:rsidRPr="00FD4427" w:rsidRDefault="001C676C">
      <w:pPr>
        <w:rPr>
          <w:rFonts w:ascii="Arial" w:hAnsi="Arial" w:cs="Arial"/>
          <w:sz w:val="16"/>
          <w:szCs w:val="16"/>
        </w:rPr>
      </w:pPr>
      <w:r w:rsidRPr="00FD4427">
        <w:rPr>
          <w:rFonts w:ascii="Arial" w:hAnsi="Arial" w:cs="Arial"/>
          <w:sz w:val="16"/>
          <w:szCs w:val="16"/>
        </w:rPr>
        <w:t>Revised</w:t>
      </w:r>
      <w:r w:rsidR="00FD4427" w:rsidRPr="00FD4427">
        <w:rPr>
          <w:rFonts w:ascii="Arial" w:hAnsi="Arial" w:cs="Arial"/>
          <w:sz w:val="16"/>
          <w:szCs w:val="16"/>
        </w:rPr>
        <w:t xml:space="preserve">: </w:t>
      </w:r>
      <w:r w:rsidR="00837D1F" w:rsidRPr="00FD4427">
        <w:rPr>
          <w:rFonts w:ascii="Arial" w:hAnsi="Arial" w:cs="Arial"/>
          <w:sz w:val="16"/>
          <w:szCs w:val="16"/>
        </w:rPr>
        <w:t>3/19/07</w:t>
      </w:r>
      <w:r w:rsidR="00FD4427" w:rsidRPr="00FD4427">
        <w:rPr>
          <w:rFonts w:ascii="Arial" w:hAnsi="Arial" w:cs="Arial"/>
          <w:sz w:val="16"/>
          <w:szCs w:val="16"/>
        </w:rPr>
        <w:t xml:space="preserve">, </w:t>
      </w:r>
      <w:r w:rsidRPr="00FD4427">
        <w:rPr>
          <w:rFonts w:ascii="Arial" w:hAnsi="Arial" w:cs="Arial"/>
          <w:sz w:val="16"/>
          <w:szCs w:val="16"/>
        </w:rPr>
        <w:t>6/10/10</w:t>
      </w:r>
      <w:r w:rsidR="00FD4427" w:rsidRPr="00FD4427">
        <w:rPr>
          <w:rFonts w:ascii="Arial" w:hAnsi="Arial" w:cs="Arial"/>
          <w:sz w:val="16"/>
          <w:szCs w:val="16"/>
        </w:rPr>
        <w:t xml:space="preserve">, </w:t>
      </w:r>
      <w:r w:rsidR="00487D42" w:rsidRPr="00FD4427">
        <w:rPr>
          <w:rFonts w:ascii="Arial" w:hAnsi="Arial" w:cs="Arial"/>
          <w:sz w:val="16"/>
          <w:szCs w:val="16"/>
        </w:rPr>
        <w:t>5/2</w:t>
      </w:r>
      <w:r w:rsidR="00FD4427" w:rsidRPr="00FD4427">
        <w:rPr>
          <w:rFonts w:ascii="Arial" w:hAnsi="Arial" w:cs="Arial"/>
          <w:sz w:val="16"/>
          <w:szCs w:val="16"/>
        </w:rPr>
        <w:t>4</w:t>
      </w:r>
      <w:r w:rsidR="00487D42" w:rsidRPr="00FD4427">
        <w:rPr>
          <w:rFonts w:ascii="Arial" w:hAnsi="Arial" w:cs="Arial"/>
          <w:sz w:val="16"/>
          <w:szCs w:val="16"/>
        </w:rPr>
        <w:t>/21</w:t>
      </w:r>
      <w:r w:rsidR="006D5479">
        <w:rPr>
          <w:rFonts w:ascii="Arial" w:hAnsi="Arial" w:cs="Arial"/>
          <w:sz w:val="16"/>
          <w:szCs w:val="16"/>
        </w:rPr>
        <w:t>, 8/10/23</w:t>
      </w:r>
      <w:r w:rsidR="00DF2867">
        <w:rPr>
          <w:rFonts w:ascii="Arial" w:hAnsi="Arial" w:cs="Arial"/>
          <w:sz w:val="16"/>
          <w:szCs w:val="16"/>
        </w:rPr>
        <w:t>, 1/8/25</w:t>
      </w:r>
      <w:r w:rsidR="00440BB7">
        <w:rPr>
          <w:rFonts w:ascii="Arial" w:hAnsi="Arial" w:cs="Arial"/>
          <w:sz w:val="16"/>
          <w:szCs w:val="16"/>
        </w:rPr>
        <w:t xml:space="preserve">, </w:t>
      </w:r>
      <w:r w:rsidR="00E85F65">
        <w:rPr>
          <w:rFonts w:ascii="Arial" w:hAnsi="Arial" w:cs="Arial"/>
          <w:sz w:val="16"/>
          <w:szCs w:val="16"/>
        </w:rPr>
        <w:t>08/19/26</w:t>
      </w:r>
    </w:p>
    <w:sectPr w:rsidR="00520F3F" w:rsidRPr="00FD4427">
      <w:headerReference w:type="default" r:id="rId25"/>
      <w:pgSz w:w="12240" w:h="15840"/>
      <w:pgMar w:top="576" w:right="1296" w:bottom="576"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2BA8EE" w14:textId="77777777" w:rsidR="001E7764" w:rsidRDefault="001E7764">
      <w:r>
        <w:separator/>
      </w:r>
    </w:p>
  </w:endnote>
  <w:endnote w:type="continuationSeparator" w:id="0">
    <w:p w14:paraId="7EDECBD1" w14:textId="77777777" w:rsidR="001E7764" w:rsidRDefault="001E77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Univers">
    <w:charset w:val="00"/>
    <w:family w:val="swiss"/>
    <w:pitch w:val="variable"/>
    <w:sig w:usb0="80000287" w:usb1="00000000" w:usb2="00000000" w:usb3="00000000" w:csb0="0000000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04A065" w14:textId="77777777" w:rsidR="001E7764" w:rsidRDefault="001E7764">
      <w:r>
        <w:separator/>
      </w:r>
    </w:p>
  </w:footnote>
  <w:footnote w:type="continuationSeparator" w:id="0">
    <w:p w14:paraId="50119D27" w14:textId="77777777" w:rsidR="001E7764" w:rsidRDefault="001E77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4E10B" w14:textId="77777777" w:rsidR="00995617" w:rsidRDefault="00995617">
    <w:pPr>
      <w:pStyle w:val="Header"/>
      <w:rPr>
        <w:rFonts w:ascii="Arial" w:hAnsi="Arial" w:cs="Arial"/>
        <w:sz w:val="16"/>
      </w:rPr>
    </w:pPr>
    <w:r>
      <w:rPr>
        <w:rFonts w:ascii="Arial" w:hAnsi="Arial" w:cs="Arial"/>
        <w:sz w:val="16"/>
      </w:rPr>
      <w:t xml:space="preserve">Community Mental Health for </w:t>
    </w:r>
    <w:smartTag w:uri="urn:schemas-microsoft-com:office:smarttags" w:element="place">
      <w:r>
        <w:rPr>
          <w:rFonts w:ascii="Arial" w:hAnsi="Arial" w:cs="Arial"/>
          <w:sz w:val="16"/>
        </w:rPr>
        <w:t>Central Michigan</w:t>
      </w:r>
    </w:smartTag>
  </w:p>
  <w:p w14:paraId="0D0B940D" w14:textId="77777777" w:rsidR="00995617" w:rsidRDefault="00995617">
    <w:pPr>
      <w:pStyle w:val="Header"/>
      <w:rPr>
        <w:rFonts w:ascii="Arial" w:hAnsi="Arial" w:cs="Arial"/>
        <w:b/>
        <w:bCs/>
        <w:sz w:val="20"/>
      </w:rPr>
    </w:pPr>
  </w:p>
  <w:p w14:paraId="7C37142E" w14:textId="77777777" w:rsidR="00995617" w:rsidRPr="00C1136C" w:rsidRDefault="00995617">
    <w:pPr>
      <w:pStyle w:val="Header"/>
      <w:jc w:val="right"/>
      <w:rPr>
        <w:rFonts w:ascii="Arial" w:hAnsi="Arial" w:cs="Arial"/>
        <w:b/>
        <w:sz w:val="20"/>
      </w:rPr>
    </w:pPr>
    <w:r w:rsidRPr="00C1136C">
      <w:rPr>
        <w:rFonts w:ascii="Arial" w:hAnsi="Arial" w:cs="Arial"/>
        <w:b/>
        <w:sz w:val="20"/>
      </w:rPr>
      <w:t>ADMINISTRATIVE GUIDELINE</w:t>
    </w:r>
  </w:p>
  <w:p w14:paraId="15879944" w14:textId="77777777" w:rsidR="00995617" w:rsidRDefault="00995617">
    <w:pPr>
      <w:pStyle w:val="Header"/>
      <w:jc w:val="right"/>
      <w:rPr>
        <w:rFonts w:ascii="Arial" w:hAnsi="Arial" w:cs="Arial"/>
        <w:b/>
        <w:bCs/>
        <w:sz w:val="20"/>
      </w:rPr>
    </w:pPr>
    <w:r>
      <w:rPr>
        <w:rFonts w:ascii="Arial" w:hAnsi="Arial" w:cs="Arial"/>
        <w:sz w:val="20"/>
      </w:rPr>
      <w:t>SERVICES ADMINISTRATION</w:t>
    </w:r>
    <w:r>
      <w:rPr>
        <w:rFonts w:ascii="Arial" w:hAnsi="Arial" w:cs="Arial"/>
        <w:b/>
        <w:bCs/>
        <w:sz w:val="20"/>
      </w:rPr>
      <w:t xml:space="preserve"> </w:t>
    </w:r>
    <w:r>
      <w:rPr>
        <w:rFonts w:ascii="Arial" w:hAnsi="Arial" w:cs="Arial"/>
        <w:sz w:val="20"/>
      </w:rPr>
      <w:t>– CHAPTER 2</w:t>
    </w:r>
  </w:p>
  <w:p w14:paraId="3E847AFE" w14:textId="77777777" w:rsidR="00995617" w:rsidRDefault="00995617">
    <w:pPr>
      <w:pStyle w:val="Header"/>
      <w:jc w:val="right"/>
      <w:rPr>
        <w:rFonts w:ascii="Arial" w:hAnsi="Arial" w:cs="Arial"/>
        <w:sz w:val="20"/>
      </w:rPr>
    </w:pPr>
    <w:r>
      <w:rPr>
        <w:rFonts w:ascii="Arial" w:hAnsi="Arial" w:cs="Arial"/>
        <w:sz w:val="20"/>
      </w:rPr>
      <w:t xml:space="preserve"> DIRECT SERVICES – SECTION 500</w:t>
    </w:r>
  </w:p>
  <w:p w14:paraId="2B7DB3E1" w14:textId="77777777" w:rsidR="00995617" w:rsidRDefault="00995617">
    <w:pPr>
      <w:pStyle w:val="Header"/>
      <w:jc w:val="right"/>
      <w:rPr>
        <w:rFonts w:ascii="Arial" w:hAnsi="Arial" w:cs="Arial"/>
        <w:b/>
        <w:bCs/>
        <w:sz w:val="20"/>
      </w:rPr>
    </w:pPr>
    <w:r>
      <w:rPr>
        <w:rFonts w:ascii="Arial" w:hAnsi="Arial" w:cs="Arial"/>
        <w:b/>
        <w:bCs/>
        <w:sz w:val="20"/>
      </w:rPr>
      <w:t xml:space="preserve">PROTOCOL FOR SOUND-ALIKE AND LOOK-ALIKE DRUGS </w:t>
    </w:r>
    <w:r>
      <w:rPr>
        <w:rFonts w:ascii="Arial" w:hAnsi="Arial" w:cs="Arial"/>
        <w:sz w:val="20"/>
      </w:rPr>
      <w:t>– SUBJECT 001C</w:t>
    </w:r>
  </w:p>
  <w:p w14:paraId="0B4BEB81" w14:textId="77777777" w:rsidR="00995617" w:rsidRDefault="00995617">
    <w:pPr>
      <w:pStyle w:val="Header"/>
      <w:jc w:val="right"/>
      <w:rPr>
        <w:rFonts w:ascii="Arial" w:hAnsi="Arial" w:cs="Arial"/>
        <w:sz w:val="20"/>
      </w:rPr>
    </w:pPr>
    <w:r>
      <w:rPr>
        <w:rFonts w:ascii="Arial" w:hAnsi="Arial" w:cs="Arial"/>
        <w:sz w:val="20"/>
      </w:rPr>
      <w:t xml:space="preserve">Page </w:t>
    </w:r>
    <w:r>
      <w:rPr>
        <w:rFonts w:ascii="Arial" w:hAnsi="Arial" w:cs="Arial"/>
        <w:sz w:val="20"/>
      </w:rPr>
      <w:fldChar w:fldCharType="begin"/>
    </w:r>
    <w:r>
      <w:rPr>
        <w:rFonts w:ascii="Arial" w:hAnsi="Arial" w:cs="Arial"/>
        <w:sz w:val="20"/>
      </w:rPr>
      <w:instrText xml:space="preserve"> PAGE </w:instrText>
    </w:r>
    <w:r>
      <w:rPr>
        <w:rFonts w:ascii="Arial" w:hAnsi="Arial" w:cs="Arial"/>
        <w:sz w:val="20"/>
      </w:rPr>
      <w:fldChar w:fldCharType="separate"/>
    </w:r>
    <w:r>
      <w:rPr>
        <w:rFonts w:ascii="Arial" w:hAnsi="Arial" w:cs="Arial"/>
        <w:noProof/>
        <w:sz w:val="20"/>
      </w:rPr>
      <w:t>14</w:t>
    </w:r>
    <w:r>
      <w:rPr>
        <w:rFonts w:ascii="Arial" w:hAnsi="Arial" w:cs="Arial"/>
        <w:sz w:val="20"/>
      </w:rPr>
      <w:fldChar w:fldCharType="end"/>
    </w:r>
    <w:r>
      <w:rPr>
        <w:rFonts w:ascii="Arial" w:hAnsi="Arial" w:cs="Arial"/>
        <w:sz w:val="20"/>
      </w:rPr>
      <w:t xml:space="preserve"> of </w:t>
    </w:r>
    <w:r>
      <w:rPr>
        <w:rFonts w:ascii="Arial" w:hAnsi="Arial" w:cs="Arial"/>
        <w:sz w:val="20"/>
      </w:rPr>
      <w:fldChar w:fldCharType="begin"/>
    </w:r>
    <w:r>
      <w:rPr>
        <w:rFonts w:ascii="Arial" w:hAnsi="Arial" w:cs="Arial"/>
        <w:sz w:val="20"/>
      </w:rPr>
      <w:instrText xml:space="preserve"> NUMPAGES </w:instrText>
    </w:r>
    <w:r>
      <w:rPr>
        <w:rFonts w:ascii="Arial" w:hAnsi="Arial" w:cs="Arial"/>
        <w:sz w:val="20"/>
      </w:rPr>
      <w:fldChar w:fldCharType="separate"/>
    </w:r>
    <w:r>
      <w:rPr>
        <w:rFonts w:ascii="Arial" w:hAnsi="Arial" w:cs="Arial"/>
        <w:noProof/>
        <w:sz w:val="20"/>
      </w:rPr>
      <w:t>14</w:t>
    </w:r>
    <w:r>
      <w:rPr>
        <w:rFonts w:ascii="Arial" w:hAnsi="Arial" w:cs="Arial"/>
        <w:sz w:val="20"/>
      </w:rPr>
      <w:fldChar w:fldCharType="end"/>
    </w:r>
  </w:p>
  <w:p w14:paraId="0E27B00A" w14:textId="77777777" w:rsidR="00995617" w:rsidRDefault="00995617">
    <w:pPr>
      <w:pStyle w:val="Heade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96CD5"/>
    <w:multiLevelType w:val="hybridMultilevel"/>
    <w:tmpl w:val="B7F6026C"/>
    <w:lvl w:ilvl="0" w:tplc="0814477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075335EC"/>
    <w:multiLevelType w:val="hybridMultilevel"/>
    <w:tmpl w:val="5A5E20C2"/>
    <w:lvl w:ilvl="0" w:tplc="CB064004">
      <w:start w:val="1"/>
      <w:numFmt w:val="bullet"/>
      <w:lvlText w:val=""/>
      <w:lvlJc w:val="left"/>
      <w:pPr>
        <w:tabs>
          <w:tab w:val="num" w:pos="1920"/>
        </w:tabs>
        <w:ind w:left="1920" w:hanging="360"/>
      </w:pPr>
      <w:rPr>
        <w:rFonts w:ascii="Wingdings" w:hAnsi="Wingdings" w:hint="default"/>
        <w:sz w:val="20"/>
      </w:rPr>
    </w:lvl>
    <w:lvl w:ilvl="1" w:tplc="04090003" w:tentative="1">
      <w:start w:val="1"/>
      <w:numFmt w:val="bullet"/>
      <w:lvlText w:val="o"/>
      <w:lvlJc w:val="left"/>
      <w:pPr>
        <w:tabs>
          <w:tab w:val="num" w:pos="2640"/>
        </w:tabs>
        <w:ind w:left="2640" w:hanging="360"/>
      </w:pPr>
      <w:rPr>
        <w:rFonts w:ascii="Courier New" w:hAnsi="Courier New" w:hint="default"/>
      </w:rPr>
    </w:lvl>
    <w:lvl w:ilvl="2" w:tplc="04090005" w:tentative="1">
      <w:start w:val="1"/>
      <w:numFmt w:val="bullet"/>
      <w:lvlText w:val=""/>
      <w:lvlJc w:val="left"/>
      <w:pPr>
        <w:tabs>
          <w:tab w:val="num" w:pos="3360"/>
        </w:tabs>
        <w:ind w:left="3360" w:hanging="360"/>
      </w:pPr>
      <w:rPr>
        <w:rFonts w:ascii="Wingdings" w:hAnsi="Wingdings" w:hint="default"/>
      </w:rPr>
    </w:lvl>
    <w:lvl w:ilvl="3" w:tplc="04090001" w:tentative="1">
      <w:start w:val="1"/>
      <w:numFmt w:val="bullet"/>
      <w:lvlText w:val=""/>
      <w:lvlJc w:val="left"/>
      <w:pPr>
        <w:tabs>
          <w:tab w:val="num" w:pos="4080"/>
        </w:tabs>
        <w:ind w:left="4080" w:hanging="360"/>
      </w:pPr>
      <w:rPr>
        <w:rFonts w:ascii="Symbol" w:hAnsi="Symbol" w:hint="default"/>
      </w:rPr>
    </w:lvl>
    <w:lvl w:ilvl="4" w:tplc="04090003" w:tentative="1">
      <w:start w:val="1"/>
      <w:numFmt w:val="bullet"/>
      <w:lvlText w:val="o"/>
      <w:lvlJc w:val="left"/>
      <w:pPr>
        <w:tabs>
          <w:tab w:val="num" w:pos="4800"/>
        </w:tabs>
        <w:ind w:left="4800" w:hanging="360"/>
      </w:pPr>
      <w:rPr>
        <w:rFonts w:ascii="Courier New" w:hAnsi="Courier New" w:hint="default"/>
      </w:rPr>
    </w:lvl>
    <w:lvl w:ilvl="5" w:tplc="04090005" w:tentative="1">
      <w:start w:val="1"/>
      <w:numFmt w:val="bullet"/>
      <w:lvlText w:val=""/>
      <w:lvlJc w:val="left"/>
      <w:pPr>
        <w:tabs>
          <w:tab w:val="num" w:pos="5520"/>
        </w:tabs>
        <w:ind w:left="5520" w:hanging="360"/>
      </w:pPr>
      <w:rPr>
        <w:rFonts w:ascii="Wingdings" w:hAnsi="Wingdings" w:hint="default"/>
      </w:rPr>
    </w:lvl>
    <w:lvl w:ilvl="6" w:tplc="04090001" w:tentative="1">
      <w:start w:val="1"/>
      <w:numFmt w:val="bullet"/>
      <w:lvlText w:val=""/>
      <w:lvlJc w:val="left"/>
      <w:pPr>
        <w:tabs>
          <w:tab w:val="num" w:pos="6240"/>
        </w:tabs>
        <w:ind w:left="6240" w:hanging="360"/>
      </w:pPr>
      <w:rPr>
        <w:rFonts w:ascii="Symbol" w:hAnsi="Symbol" w:hint="default"/>
      </w:rPr>
    </w:lvl>
    <w:lvl w:ilvl="7" w:tplc="04090003" w:tentative="1">
      <w:start w:val="1"/>
      <w:numFmt w:val="bullet"/>
      <w:lvlText w:val="o"/>
      <w:lvlJc w:val="left"/>
      <w:pPr>
        <w:tabs>
          <w:tab w:val="num" w:pos="6960"/>
        </w:tabs>
        <w:ind w:left="6960" w:hanging="360"/>
      </w:pPr>
      <w:rPr>
        <w:rFonts w:ascii="Courier New" w:hAnsi="Courier New" w:hint="default"/>
      </w:rPr>
    </w:lvl>
    <w:lvl w:ilvl="8" w:tplc="04090005" w:tentative="1">
      <w:start w:val="1"/>
      <w:numFmt w:val="bullet"/>
      <w:lvlText w:val=""/>
      <w:lvlJc w:val="left"/>
      <w:pPr>
        <w:tabs>
          <w:tab w:val="num" w:pos="7680"/>
        </w:tabs>
        <w:ind w:left="7680" w:hanging="360"/>
      </w:pPr>
      <w:rPr>
        <w:rFonts w:ascii="Wingdings" w:hAnsi="Wingdings" w:hint="default"/>
      </w:rPr>
    </w:lvl>
  </w:abstractNum>
  <w:abstractNum w:abstractNumId="2" w15:restartNumberingAfterBreak="0">
    <w:nsid w:val="07E05191"/>
    <w:multiLevelType w:val="hybridMultilevel"/>
    <w:tmpl w:val="E1BEE31C"/>
    <w:lvl w:ilvl="0" w:tplc="CB064004">
      <w:start w:val="1"/>
      <w:numFmt w:val="bullet"/>
      <w:lvlText w:val=""/>
      <w:lvlJc w:val="left"/>
      <w:pPr>
        <w:tabs>
          <w:tab w:val="num" w:pos="1440"/>
        </w:tabs>
        <w:ind w:left="1440" w:hanging="360"/>
      </w:pPr>
      <w:rPr>
        <w:rFonts w:ascii="Wingdings" w:hAnsi="Wingdings"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9245C23"/>
    <w:multiLevelType w:val="hybridMultilevel"/>
    <w:tmpl w:val="91FC1BAA"/>
    <w:lvl w:ilvl="0" w:tplc="B8505CF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09750A55"/>
    <w:multiLevelType w:val="hybridMultilevel"/>
    <w:tmpl w:val="28F0E508"/>
    <w:lvl w:ilvl="0" w:tplc="48881F96">
      <w:start w:val="5"/>
      <w:numFmt w:val="decimal"/>
      <w:lvlText w:val="%1."/>
      <w:lvlJc w:val="left"/>
      <w:pPr>
        <w:tabs>
          <w:tab w:val="num" w:pos="1200"/>
        </w:tabs>
        <w:ind w:left="1200" w:hanging="48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0F8B76BB"/>
    <w:multiLevelType w:val="hybridMultilevel"/>
    <w:tmpl w:val="CD70C18C"/>
    <w:lvl w:ilvl="0" w:tplc="0409000F">
      <w:start w:val="1"/>
      <w:numFmt w:val="decimal"/>
      <w:lvlText w:val="%1."/>
      <w:lvlJc w:val="left"/>
      <w:pPr>
        <w:tabs>
          <w:tab w:val="num" w:pos="720"/>
        </w:tabs>
        <w:ind w:left="720" w:hanging="360"/>
      </w:pPr>
      <w:rPr>
        <w:rFonts w:hint="default"/>
      </w:rPr>
    </w:lvl>
    <w:lvl w:ilvl="1" w:tplc="A47A4F66">
      <w:start w:val="1"/>
      <w:numFmt w:val="lowerLetter"/>
      <w:lvlText w:val="%2."/>
      <w:lvlJc w:val="left"/>
      <w:pPr>
        <w:tabs>
          <w:tab w:val="num" w:pos="1515"/>
        </w:tabs>
        <w:ind w:left="1515" w:hanging="435"/>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15:restartNumberingAfterBreak="0">
    <w:nsid w:val="1B2F1F5F"/>
    <w:multiLevelType w:val="hybridMultilevel"/>
    <w:tmpl w:val="5A5E20C2"/>
    <w:lvl w:ilvl="0" w:tplc="FC8E99D8">
      <w:numFmt w:val="bullet"/>
      <w:lvlText w:val=""/>
      <w:lvlJc w:val="left"/>
      <w:pPr>
        <w:tabs>
          <w:tab w:val="num" w:pos="1920"/>
        </w:tabs>
        <w:ind w:left="1920" w:hanging="360"/>
      </w:pPr>
      <w:rPr>
        <w:rFonts w:ascii="Symbol" w:eastAsia="Times New Roman" w:hAnsi="Symbol" w:cs="Times New Roman" w:hint="default"/>
      </w:rPr>
    </w:lvl>
    <w:lvl w:ilvl="1" w:tplc="04090003" w:tentative="1">
      <w:start w:val="1"/>
      <w:numFmt w:val="bullet"/>
      <w:lvlText w:val="o"/>
      <w:lvlJc w:val="left"/>
      <w:pPr>
        <w:tabs>
          <w:tab w:val="num" w:pos="2640"/>
        </w:tabs>
        <w:ind w:left="2640" w:hanging="360"/>
      </w:pPr>
      <w:rPr>
        <w:rFonts w:ascii="Courier New" w:hAnsi="Courier New" w:hint="default"/>
      </w:rPr>
    </w:lvl>
    <w:lvl w:ilvl="2" w:tplc="04090005" w:tentative="1">
      <w:start w:val="1"/>
      <w:numFmt w:val="bullet"/>
      <w:lvlText w:val=""/>
      <w:lvlJc w:val="left"/>
      <w:pPr>
        <w:tabs>
          <w:tab w:val="num" w:pos="3360"/>
        </w:tabs>
        <w:ind w:left="3360" w:hanging="360"/>
      </w:pPr>
      <w:rPr>
        <w:rFonts w:ascii="Wingdings" w:hAnsi="Wingdings" w:hint="default"/>
      </w:rPr>
    </w:lvl>
    <w:lvl w:ilvl="3" w:tplc="04090001" w:tentative="1">
      <w:start w:val="1"/>
      <w:numFmt w:val="bullet"/>
      <w:lvlText w:val=""/>
      <w:lvlJc w:val="left"/>
      <w:pPr>
        <w:tabs>
          <w:tab w:val="num" w:pos="4080"/>
        </w:tabs>
        <w:ind w:left="4080" w:hanging="360"/>
      </w:pPr>
      <w:rPr>
        <w:rFonts w:ascii="Symbol" w:hAnsi="Symbol" w:hint="default"/>
      </w:rPr>
    </w:lvl>
    <w:lvl w:ilvl="4" w:tplc="04090003" w:tentative="1">
      <w:start w:val="1"/>
      <w:numFmt w:val="bullet"/>
      <w:lvlText w:val="o"/>
      <w:lvlJc w:val="left"/>
      <w:pPr>
        <w:tabs>
          <w:tab w:val="num" w:pos="4800"/>
        </w:tabs>
        <w:ind w:left="4800" w:hanging="360"/>
      </w:pPr>
      <w:rPr>
        <w:rFonts w:ascii="Courier New" w:hAnsi="Courier New" w:hint="default"/>
      </w:rPr>
    </w:lvl>
    <w:lvl w:ilvl="5" w:tplc="04090005" w:tentative="1">
      <w:start w:val="1"/>
      <w:numFmt w:val="bullet"/>
      <w:lvlText w:val=""/>
      <w:lvlJc w:val="left"/>
      <w:pPr>
        <w:tabs>
          <w:tab w:val="num" w:pos="5520"/>
        </w:tabs>
        <w:ind w:left="5520" w:hanging="360"/>
      </w:pPr>
      <w:rPr>
        <w:rFonts w:ascii="Wingdings" w:hAnsi="Wingdings" w:hint="default"/>
      </w:rPr>
    </w:lvl>
    <w:lvl w:ilvl="6" w:tplc="04090001" w:tentative="1">
      <w:start w:val="1"/>
      <w:numFmt w:val="bullet"/>
      <w:lvlText w:val=""/>
      <w:lvlJc w:val="left"/>
      <w:pPr>
        <w:tabs>
          <w:tab w:val="num" w:pos="6240"/>
        </w:tabs>
        <w:ind w:left="6240" w:hanging="360"/>
      </w:pPr>
      <w:rPr>
        <w:rFonts w:ascii="Symbol" w:hAnsi="Symbol" w:hint="default"/>
      </w:rPr>
    </w:lvl>
    <w:lvl w:ilvl="7" w:tplc="04090003" w:tentative="1">
      <w:start w:val="1"/>
      <w:numFmt w:val="bullet"/>
      <w:lvlText w:val="o"/>
      <w:lvlJc w:val="left"/>
      <w:pPr>
        <w:tabs>
          <w:tab w:val="num" w:pos="6960"/>
        </w:tabs>
        <w:ind w:left="6960" w:hanging="360"/>
      </w:pPr>
      <w:rPr>
        <w:rFonts w:ascii="Courier New" w:hAnsi="Courier New" w:hint="default"/>
      </w:rPr>
    </w:lvl>
    <w:lvl w:ilvl="8" w:tplc="04090005" w:tentative="1">
      <w:start w:val="1"/>
      <w:numFmt w:val="bullet"/>
      <w:lvlText w:val=""/>
      <w:lvlJc w:val="left"/>
      <w:pPr>
        <w:tabs>
          <w:tab w:val="num" w:pos="7680"/>
        </w:tabs>
        <w:ind w:left="7680" w:hanging="360"/>
      </w:pPr>
      <w:rPr>
        <w:rFonts w:ascii="Wingdings" w:hAnsi="Wingdings" w:hint="default"/>
      </w:rPr>
    </w:lvl>
  </w:abstractNum>
  <w:abstractNum w:abstractNumId="7" w15:restartNumberingAfterBreak="0">
    <w:nsid w:val="1FB80A76"/>
    <w:multiLevelType w:val="hybridMultilevel"/>
    <w:tmpl w:val="E6248186"/>
    <w:lvl w:ilvl="0" w:tplc="CB064004">
      <w:start w:val="1"/>
      <w:numFmt w:val="bullet"/>
      <w:lvlText w:val=""/>
      <w:lvlJc w:val="left"/>
      <w:pPr>
        <w:tabs>
          <w:tab w:val="num" w:pos="1875"/>
        </w:tabs>
        <w:ind w:left="1875" w:hanging="360"/>
      </w:pPr>
      <w:rPr>
        <w:rFonts w:ascii="Wingdings" w:hAnsi="Wingdings" w:hint="default"/>
        <w:sz w:val="20"/>
      </w:rPr>
    </w:lvl>
    <w:lvl w:ilvl="1" w:tplc="04090003" w:tentative="1">
      <w:start w:val="1"/>
      <w:numFmt w:val="bullet"/>
      <w:lvlText w:val="o"/>
      <w:lvlJc w:val="left"/>
      <w:pPr>
        <w:tabs>
          <w:tab w:val="num" w:pos="1875"/>
        </w:tabs>
        <w:ind w:left="1875" w:hanging="360"/>
      </w:pPr>
      <w:rPr>
        <w:rFonts w:ascii="Courier New" w:hAnsi="Courier New" w:hint="default"/>
      </w:rPr>
    </w:lvl>
    <w:lvl w:ilvl="2" w:tplc="04090005" w:tentative="1">
      <w:start w:val="1"/>
      <w:numFmt w:val="bullet"/>
      <w:lvlText w:val=""/>
      <w:lvlJc w:val="left"/>
      <w:pPr>
        <w:tabs>
          <w:tab w:val="num" w:pos="2595"/>
        </w:tabs>
        <w:ind w:left="2595" w:hanging="360"/>
      </w:pPr>
      <w:rPr>
        <w:rFonts w:ascii="Wingdings" w:hAnsi="Wingdings" w:hint="default"/>
      </w:rPr>
    </w:lvl>
    <w:lvl w:ilvl="3" w:tplc="04090001" w:tentative="1">
      <w:start w:val="1"/>
      <w:numFmt w:val="bullet"/>
      <w:lvlText w:val=""/>
      <w:lvlJc w:val="left"/>
      <w:pPr>
        <w:tabs>
          <w:tab w:val="num" w:pos="3315"/>
        </w:tabs>
        <w:ind w:left="3315" w:hanging="360"/>
      </w:pPr>
      <w:rPr>
        <w:rFonts w:ascii="Symbol" w:hAnsi="Symbol" w:hint="default"/>
      </w:rPr>
    </w:lvl>
    <w:lvl w:ilvl="4" w:tplc="04090003" w:tentative="1">
      <w:start w:val="1"/>
      <w:numFmt w:val="bullet"/>
      <w:lvlText w:val="o"/>
      <w:lvlJc w:val="left"/>
      <w:pPr>
        <w:tabs>
          <w:tab w:val="num" w:pos="4035"/>
        </w:tabs>
        <w:ind w:left="4035" w:hanging="360"/>
      </w:pPr>
      <w:rPr>
        <w:rFonts w:ascii="Courier New" w:hAnsi="Courier New" w:hint="default"/>
      </w:rPr>
    </w:lvl>
    <w:lvl w:ilvl="5" w:tplc="04090005" w:tentative="1">
      <w:start w:val="1"/>
      <w:numFmt w:val="bullet"/>
      <w:lvlText w:val=""/>
      <w:lvlJc w:val="left"/>
      <w:pPr>
        <w:tabs>
          <w:tab w:val="num" w:pos="4755"/>
        </w:tabs>
        <w:ind w:left="4755" w:hanging="360"/>
      </w:pPr>
      <w:rPr>
        <w:rFonts w:ascii="Wingdings" w:hAnsi="Wingdings" w:hint="default"/>
      </w:rPr>
    </w:lvl>
    <w:lvl w:ilvl="6" w:tplc="04090001" w:tentative="1">
      <w:start w:val="1"/>
      <w:numFmt w:val="bullet"/>
      <w:lvlText w:val=""/>
      <w:lvlJc w:val="left"/>
      <w:pPr>
        <w:tabs>
          <w:tab w:val="num" w:pos="5475"/>
        </w:tabs>
        <w:ind w:left="5475" w:hanging="360"/>
      </w:pPr>
      <w:rPr>
        <w:rFonts w:ascii="Symbol" w:hAnsi="Symbol" w:hint="default"/>
      </w:rPr>
    </w:lvl>
    <w:lvl w:ilvl="7" w:tplc="04090003" w:tentative="1">
      <w:start w:val="1"/>
      <w:numFmt w:val="bullet"/>
      <w:lvlText w:val="o"/>
      <w:lvlJc w:val="left"/>
      <w:pPr>
        <w:tabs>
          <w:tab w:val="num" w:pos="6195"/>
        </w:tabs>
        <w:ind w:left="6195" w:hanging="360"/>
      </w:pPr>
      <w:rPr>
        <w:rFonts w:ascii="Courier New" w:hAnsi="Courier New" w:hint="default"/>
      </w:rPr>
    </w:lvl>
    <w:lvl w:ilvl="8" w:tplc="04090005" w:tentative="1">
      <w:start w:val="1"/>
      <w:numFmt w:val="bullet"/>
      <w:lvlText w:val=""/>
      <w:lvlJc w:val="left"/>
      <w:pPr>
        <w:tabs>
          <w:tab w:val="num" w:pos="6915"/>
        </w:tabs>
        <w:ind w:left="6915" w:hanging="360"/>
      </w:pPr>
      <w:rPr>
        <w:rFonts w:ascii="Wingdings" w:hAnsi="Wingdings" w:hint="default"/>
      </w:rPr>
    </w:lvl>
  </w:abstractNum>
  <w:abstractNum w:abstractNumId="8" w15:restartNumberingAfterBreak="0">
    <w:nsid w:val="27CF5CE1"/>
    <w:multiLevelType w:val="hybridMultilevel"/>
    <w:tmpl w:val="6074A7DC"/>
    <w:lvl w:ilvl="0" w:tplc="99A85926">
      <w:start w:val="1"/>
      <w:numFmt w:val="decimal"/>
      <w:lvlText w:val="%1."/>
      <w:lvlJc w:val="left"/>
      <w:pPr>
        <w:tabs>
          <w:tab w:val="num" w:pos="1080"/>
        </w:tabs>
        <w:ind w:left="1080" w:hanging="360"/>
      </w:pPr>
      <w:rPr>
        <w:rFonts w:hint="default"/>
        <w:b/>
        <w:i w:val="0"/>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15:restartNumberingAfterBreak="0">
    <w:nsid w:val="35506CB2"/>
    <w:multiLevelType w:val="hybridMultilevel"/>
    <w:tmpl w:val="63588D72"/>
    <w:lvl w:ilvl="0" w:tplc="24EA8714">
      <w:start w:val="1"/>
      <w:numFmt w:val="decimal"/>
      <w:lvlText w:val="%1)"/>
      <w:lvlJc w:val="left"/>
      <w:pPr>
        <w:tabs>
          <w:tab w:val="num" w:pos="720"/>
        </w:tabs>
        <w:ind w:left="72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527A5592"/>
    <w:multiLevelType w:val="hybridMultilevel"/>
    <w:tmpl w:val="024A542A"/>
    <w:lvl w:ilvl="0" w:tplc="7C649B4A">
      <w:start w:val="1"/>
      <w:numFmt w:val="decimal"/>
      <w:lvlText w:val="%1."/>
      <w:lvlJc w:val="left"/>
      <w:pPr>
        <w:tabs>
          <w:tab w:val="num" w:pos="1200"/>
        </w:tabs>
        <w:ind w:left="1200" w:hanging="48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15:restartNumberingAfterBreak="0">
    <w:nsid w:val="54E93E1E"/>
    <w:multiLevelType w:val="hybridMultilevel"/>
    <w:tmpl w:val="6D98C48E"/>
    <w:lvl w:ilvl="0" w:tplc="CB064004">
      <w:start w:val="1"/>
      <w:numFmt w:val="bullet"/>
      <w:lvlText w:val=""/>
      <w:lvlJc w:val="left"/>
      <w:pPr>
        <w:tabs>
          <w:tab w:val="num" w:pos="1440"/>
        </w:tabs>
        <w:ind w:left="1440" w:hanging="360"/>
      </w:pPr>
      <w:rPr>
        <w:rFonts w:ascii="Wingdings" w:hAnsi="Wingdings"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0707361"/>
    <w:multiLevelType w:val="hybridMultilevel"/>
    <w:tmpl w:val="832E0E84"/>
    <w:lvl w:ilvl="0" w:tplc="CCCC42A0">
      <w:start w:val="1"/>
      <w:numFmt w:val="decimal"/>
      <w:lvlText w:val="%1."/>
      <w:lvlJc w:val="left"/>
      <w:pPr>
        <w:tabs>
          <w:tab w:val="num" w:pos="1185"/>
        </w:tabs>
        <w:ind w:left="1185" w:hanging="46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74B50466"/>
    <w:multiLevelType w:val="hybridMultilevel"/>
    <w:tmpl w:val="C8863302"/>
    <w:lvl w:ilvl="0" w:tplc="5FCA5672">
      <w:start w:val="1"/>
      <w:numFmt w:val="decimal"/>
      <w:lvlText w:val="%1."/>
      <w:lvlJc w:val="left"/>
      <w:pPr>
        <w:tabs>
          <w:tab w:val="num" w:pos="5052"/>
        </w:tabs>
        <w:ind w:left="5052" w:hanging="4332"/>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15:restartNumberingAfterBreak="0">
    <w:nsid w:val="7A764C68"/>
    <w:multiLevelType w:val="hybridMultilevel"/>
    <w:tmpl w:val="5A5E20C2"/>
    <w:lvl w:ilvl="0" w:tplc="CB064004">
      <w:start w:val="1"/>
      <w:numFmt w:val="bullet"/>
      <w:lvlText w:val=""/>
      <w:lvlJc w:val="left"/>
      <w:pPr>
        <w:tabs>
          <w:tab w:val="num" w:pos="1920"/>
        </w:tabs>
        <w:ind w:left="1920" w:hanging="360"/>
      </w:pPr>
      <w:rPr>
        <w:rFonts w:ascii="Wingdings" w:hAnsi="Wingdings" w:hint="default"/>
        <w:sz w:val="20"/>
      </w:rPr>
    </w:lvl>
    <w:lvl w:ilvl="1" w:tplc="04090003" w:tentative="1">
      <w:start w:val="1"/>
      <w:numFmt w:val="bullet"/>
      <w:lvlText w:val="o"/>
      <w:lvlJc w:val="left"/>
      <w:pPr>
        <w:tabs>
          <w:tab w:val="num" w:pos="2640"/>
        </w:tabs>
        <w:ind w:left="2640" w:hanging="360"/>
      </w:pPr>
      <w:rPr>
        <w:rFonts w:ascii="Courier New" w:hAnsi="Courier New" w:hint="default"/>
      </w:rPr>
    </w:lvl>
    <w:lvl w:ilvl="2" w:tplc="04090005" w:tentative="1">
      <w:start w:val="1"/>
      <w:numFmt w:val="bullet"/>
      <w:lvlText w:val=""/>
      <w:lvlJc w:val="left"/>
      <w:pPr>
        <w:tabs>
          <w:tab w:val="num" w:pos="3360"/>
        </w:tabs>
        <w:ind w:left="3360" w:hanging="360"/>
      </w:pPr>
      <w:rPr>
        <w:rFonts w:ascii="Wingdings" w:hAnsi="Wingdings" w:hint="default"/>
      </w:rPr>
    </w:lvl>
    <w:lvl w:ilvl="3" w:tplc="04090001" w:tentative="1">
      <w:start w:val="1"/>
      <w:numFmt w:val="bullet"/>
      <w:lvlText w:val=""/>
      <w:lvlJc w:val="left"/>
      <w:pPr>
        <w:tabs>
          <w:tab w:val="num" w:pos="4080"/>
        </w:tabs>
        <w:ind w:left="4080" w:hanging="360"/>
      </w:pPr>
      <w:rPr>
        <w:rFonts w:ascii="Symbol" w:hAnsi="Symbol" w:hint="default"/>
      </w:rPr>
    </w:lvl>
    <w:lvl w:ilvl="4" w:tplc="04090003" w:tentative="1">
      <w:start w:val="1"/>
      <w:numFmt w:val="bullet"/>
      <w:lvlText w:val="o"/>
      <w:lvlJc w:val="left"/>
      <w:pPr>
        <w:tabs>
          <w:tab w:val="num" w:pos="4800"/>
        </w:tabs>
        <w:ind w:left="4800" w:hanging="360"/>
      </w:pPr>
      <w:rPr>
        <w:rFonts w:ascii="Courier New" w:hAnsi="Courier New" w:hint="default"/>
      </w:rPr>
    </w:lvl>
    <w:lvl w:ilvl="5" w:tplc="04090005" w:tentative="1">
      <w:start w:val="1"/>
      <w:numFmt w:val="bullet"/>
      <w:lvlText w:val=""/>
      <w:lvlJc w:val="left"/>
      <w:pPr>
        <w:tabs>
          <w:tab w:val="num" w:pos="5520"/>
        </w:tabs>
        <w:ind w:left="5520" w:hanging="360"/>
      </w:pPr>
      <w:rPr>
        <w:rFonts w:ascii="Wingdings" w:hAnsi="Wingdings" w:hint="default"/>
      </w:rPr>
    </w:lvl>
    <w:lvl w:ilvl="6" w:tplc="04090001" w:tentative="1">
      <w:start w:val="1"/>
      <w:numFmt w:val="bullet"/>
      <w:lvlText w:val=""/>
      <w:lvlJc w:val="left"/>
      <w:pPr>
        <w:tabs>
          <w:tab w:val="num" w:pos="6240"/>
        </w:tabs>
        <w:ind w:left="6240" w:hanging="360"/>
      </w:pPr>
      <w:rPr>
        <w:rFonts w:ascii="Symbol" w:hAnsi="Symbol" w:hint="default"/>
      </w:rPr>
    </w:lvl>
    <w:lvl w:ilvl="7" w:tplc="04090003" w:tentative="1">
      <w:start w:val="1"/>
      <w:numFmt w:val="bullet"/>
      <w:lvlText w:val="o"/>
      <w:lvlJc w:val="left"/>
      <w:pPr>
        <w:tabs>
          <w:tab w:val="num" w:pos="6960"/>
        </w:tabs>
        <w:ind w:left="6960" w:hanging="360"/>
      </w:pPr>
      <w:rPr>
        <w:rFonts w:ascii="Courier New" w:hAnsi="Courier New" w:hint="default"/>
      </w:rPr>
    </w:lvl>
    <w:lvl w:ilvl="8" w:tplc="04090005" w:tentative="1">
      <w:start w:val="1"/>
      <w:numFmt w:val="bullet"/>
      <w:lvlText w:val=""/>
      <w:lvlJc w:val="left"/>
      <w:pPr>
        <w:tabs>
          <w:tab w:val="num" w:pos="7680"/>
        </w:tabs>
        <w:ind w:left="7680" w:hanging="360"/>
      </w:pPr>
      <w:rPr>
        <w:rFonts w:ascii="Wingdings" w:hAnsi="Wingdings" w:hint="default"/>
      </w:rPr>
    </w:lvl>
  </w:abstractNum>
  <w:num w:numId="1" w16cid:durableId="130706945">
    <w:abstractNumId w:val="5"/>
  </w:num>
  <w:num w:numId="2" w16cid:durableId="681976153">
    <w:abstractNumId w:val="4"/>
  </w:num>
  <w:num w:numId="3" w16cid:durableId="1657369724">
    <w:abstractNumId w:val="3"/>
  </w:num>
  <w:num w:numId="4" w16cid:durableId="166873253">
    <w:abstractNumId w:val="10"/>
  </w:num>
  <w:num w:numId="5" w16cid:durableId="1984117915">
    <w:abstractNumId w:val="8"/>
  </w:num>
  <w:num w:numId="6" w16cid:durableId="269288678">
    <w:abstractNumId w:val="12"/>
  </w:num>
  <w:num w:numId="7" w16cid:durableId="1433084325">
    <w:abstractNumId w:val="9"/>
  </w:num>
  <w:num w:numId="8" w16cid:durableId="513764035">
    <w:abstractNumId w:val="13"/>
  </w:num>
  <w:num w:numId="9" w16cid:durableId="396561632">
    <w:abstractNumId w:val="0"/>
  </w:num>
  <w:num w:numId="10" w16cid:durableId="246230373">
    <w:abstractNumId w:val="6"/>
  </w:num>
  <w:num w:numId="11" w16cid:durableId="1257590856">
    <w:abstractNumId w:val="11"/>
  </w:num>
  <w:num w:numId="12" w16cid:durableId="373312265">
    <w:abstractNumId w:val="2"/>
  </w:num>
  <w:num w:numId="13" w16cid:durableId="822158945">
    <w:abstractNumId w:val="7"/>
  </w:num>
  <w:num w:numId="14" w16cid:durableId="1483305999">
    <w:abstractNumId w:val="14"/>
  </w:num>
  <w:num w:numId="15" w16cid:durableId="11006409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241"/>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36C"/>
    <w:rsid w:val="000523B9"/>
    <w:rsid w:val="00067E4D"/>
    <w:rsid w:val="00073461"/>
    <w:rsid w:val="00095273"/>
    <w:rsid w:val="001022C4"/>
    <w:rsid w:val="0012741F"/>
    <w:rsid w:val="001543AD"/>
    <w:rsid w:val="001A3815"/>
    <w:rsid w:val="001B1A5A"/>
    <w:rsid w:val="001B1E7C"/>
    <w:rsid w:val="001C34A5"/>
    <w:rsid w:val="001C676C"/>
    <w:rsid w:val="001D32E5"/>
    <w:rsid w:val="001D37F1"/>
    <w:rsid w:val="001E7764"/>
    <w:rsid w:val="00244255"/>
    <w:rsid w:val="002667CA"/>
    <w:rsid w:val="00271B47"/>
    <w:rsid w:val="002860DE"/>
    <w:rsid w:val="002C063A"/>
    <w:rsid w:val="002C13F5"/>
    <w:rsid w:val="002F2F63"/>
    <w:rsid w:val="0037488D"/>
    <w:rsid w:val="00406077"/>
    <w:rsid w:val="00422EA0"/>
    <w:rsid w:val="00440BB7"/>
    <w:rsid w:val="00480710"/>
    <w:rsid w:val="00487D42"/>
    <w:rsid w:val="004B240C"/>
    <w:rsid w:val="00513A6A"/>
    <w:rsid w:val="00520F3F"/>
    <w:rsid w:val="00585EFD"/>
    <w:rsid w:val="005F7AC0"/>
    <w:rsid w:val="00604E56"/>
    <w:rsid w:val="0061533D"/>
    <w:rsid w:val="006640E3"/>
    <w:rsid w:val="0067114E"/>
    <w:rsid w:val="006B7B61"/>
    <w:rsid w:val="006D5479"/>
    <w:rsid w:val="00717881"/>
    <w:rsid w:val="007373C3"/>
    <w:rsid w:val="00774FEF"/>
    <w:rsid w:val="007A04DF"/>
    <w:rsid w:val="007B2D30"/>
    <w:rsid w:val="007F08B2"/>
    <w:rsid w:val="00805EC2"/>
    <w:rsid w:val="0082579D"/>
    <w:rsid w:val="00826358"/>
    <w:rsid w:val="0082646C"/>
    <w:rsid w:val="00837D1F"/>
    <w:rsid w:val="00845622"/>
    <w:rsid w:val="00884D4E"/>
    <w:rsid w:val="008B3FEA"/>
    <w:rsid w:val="008B64F8"/>
    <w:rsid w:val="00941D66"/>
    <w:rsid w:val="00985CAF"/>
    <w:rsid w:val="00991564"/>
    <w:rsid w:val="00995617"/>
    <w:rsid w:val="009977A5"/>
    <w:rsid w:val="009B23FE"/>
    <w:rsid w:val="009C52A1"/>
    <w:rsid w:val="009C5FE7"/>
    <w:rsid w:val="009E31DF"/>
    <w:rsid w:val="00A02686"/>
    <w:rsid w:val="00A3142C"/>
    <w:rsid w:val="00A35A49"/>
    <w:rsid w:val="00A67A5F"/>
    <w:rsid w:val="00AF258A"/>
    <w:rsid w:val="00B60A8E"/>
    <w:rsid w:val="00B631EE"/>
    <w:rsid w:val="00B826EC"/>
    <w:rsid w:val="00B86E68"/>
    <w:rsid w:val="00BB361B"/>
    <w:rsid w:val="00BB3E2B"/>
    <w:rsid w:val="00BD55EE"/>
    <w:rsid w:val="00BE5892"/>
    <w:rsid w:val="00C0345B"/>
    <w:rsid w:val="00C1136C"/>
    <w:rsid w:val="00C31591"/>
    <w:rsid w:val="00C5508B"/>
    <w:rsid w:val="00C756C0"/>
    <w:rsid w:val="00CC1D7D"/>
    <w:rsid w:val="00CC77BD"/>
    <w:rsid w:val="00CD3CD9"/>
    <w:rsid w:val="00CD3DBA"/>
    <w:rsid w:val="00D23F32"/>
    <w:rsid w:val="00D41A5D"/>
    <w:rsid w:val="00D44F28"/>
    <w:rsid w:val="00D52380"/>
    <w:rsid w:val="00D52E3F"/>
    <w:rsid w:val="00D91500"/>
    <w:rsid w:val="00DD3D02"/>
    <w:rsid w:val="00DE1D53"/>
    <w:rsid w:val="00DF2867"/>
    <w:rsid w:val="00DF439C"/>
    <w:rsid w:val="00E3236E"/>
    <w:rsid w:val="00E62D5E"/>
    <w:rsid w:val="00E85F65"/>
    <w:rsid w:val="00E94AA1"/>
    <w:rsid w:val="00EB3390"/>
    <w:rsid w:val="00F65A06"/>
    <w:rsid w:val="00F72AF2"/>
    <w:rsid w:val="00FB5E5A"/>
    <w:rsid w:val="00FC62ED"/>
    <w:rsid w:val="00FD4427"/>
    <w:rsid w:val="134E793F"/>
    <w:rsid w:val="2590A3DC"/>
    <w:rsid w:val="2E8F78B4"/>
    <w:rsid w:val="3277146A"/>
    <w:rsid w:val="34A1C9DC"/>
    <w:rsid w:val="3BEC38DA"/>
    <w:rsid w:val="3C9BA0EA"/>
    <w:rsid w:val="3F9FFB96"/>
    <w:rsid w:val="424FC929"/>
    <w:rsid w:val="503151BD"/>
    <w:rsid w:val="57EEF910"/>
    <w:rsid w:val="58D4CCD4"/>
    <w:rsid w:val="6DB8D64A"/>
    <w:rsid w:val="6FFBCBBF"/>
    <w:rsid w:val="78534C17"/>
    <w:rsid w:val="7CA0B10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6"/>
    <o:shapelayout v:ext="edit">
      <o:idmap v:ext="edit" data="1"/>
    </o:shapelayout>
  </w:shapeDefaults>
  <w:decimalSymbol w:val="."/>
  <w:listSeparator w:val=","/>
  <w14:docId w14:val="3750C089"/>
  <w15:chartTrackingRefBased/>
  <w15:docId w15:val="{05AEDE50-9B19-408F-9B24-DB27A196D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uiPriority="9"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Univers" w:hAnsi="Univers"/>
      <w:sz w:val="22"/>
      <w:szCs w:val="24"/>
    </w:rPr>
  </w:style>
  <w:style w:type="paragraph" w:styleId="Heading1">
    <w:name w:val="heading 1"/>
    <w:basedOn w:val="Normal"/>
    <w:next w:val="Normal"/>
    <w:qFormat/>
    <w:pPr>
      <w:keepNext/>
      <w:outlineLvl w:val="0"/>
    </w:pPr>
    <w:rPr>
      <w:rFonts w:ascii="Arial" w:hAnsi="Arial"/>
      <w:sz w:val="24"/>
      <w:szCs w:val="20"/>
      <w:u w:val="single"/>
    </w:rPr>
  </w:style>
  <w:style w:type="paragraph" w:styleId="Heading2">
    <w:name w:val="heading 2"/>
    <w:basedOn w:val="Normal"/>
    <w:next w:val="Normal"/>
    <w:qFormat/>
    <w:pPr>
      <w:keepNext/>
      <w:outlineLvl w:val="1"/>
    </w:pPr>
    <w:rPr>
      <w:rFonts w:ascii="Arial" w:hAnsi="Arial"/>
      <w:b/>
      <w:sz w:val="24"/>
      <w:szCs w:val="20"/>
    </w:rPr>
  </w:style>
  <w:style w:type="paragraph" w:styleId="Heading3">
    <w:name w:val="heading 3"/>
    <w:basedOn w:val="Normal"/>
    <w:next w:val="Normal"/>
    <w:qFormat/>
    <w:pPr>
      <w:keepNext/>
      <w:jc w:val="center"/>
      <w:outlineLvl w:val="2"/>
    </w:pPr>
    <w:rPr>
      <w:rFonts w:ascii="Times New Roman" w:hAnsi="Times New Roman"/>
      <w:b/>
      <w:bCs/>
      <w:sz w:val="24"/>
    </w:rPr>
  </w:style>
  <w:style w:type="paragraph" w:styleId="Heading4">
    <w:name w:val="heading 4"/>
    <w:basedOn w:val="Normal"/>
    <w:next w:val="Normal"/>
    <w:link w:val="Heading4Char"/>
    <w:uiPriority w:val="9"/>
    <w:qFormat/>
    <w:pPr>
      <w:keepNext/>
      <w:outlineLvl w:val="3"/>
    </w:pPr>
    <w:rPr>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uiPriority w:val="9"/>
    <w:rsid w:val="007A04DF"/>
    <w:rPr>
      <w:rFonts w:ascii="Univers" w:hAnsi="Univers"/>
      <w:b/>
      <w:bCs/>
      <w:szCs w:val="24"/>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Title">
    <w:name w:val="Title"/>
    <w:basedOn w:val="Normal"/>
    <w:qFormat/>
    <w:pPr>
      <w:jc w:val="center"/>
    </w:pPr>
    <w:rPr>
      <w:rFonts w:ascii="Arial" w:hAnsi="Arial" w:cs="Arial"/>
      <w:b/>
      <w:bCs/>
      <w:sz w:val="20"/>
    </w:rPr>
  </w:style>
  <w:style w:type="paragraph" w:styleId="Subtitle">
    <w:name w:val="Subtitle"/>
    <w:basedOn w:val="Normal"/>
    <w:qFormat/>
    <w:pPr>
      <w:jc w:val="center"/>
    </w:pPr>
    <w:rPr>
      <w:rFonts w:ascii="Arial" w:hAnsi="Arial" w:cs="Arial"/>
      <w:b/>
      <w:bCs/>
      <w:sz w:val="24"/>
    </w:rPr>
  </w:style>
  <w:style w:type="paragraph" w:styleId="BodyTextIndent">
    <w:name w:val="Body Text Indent"/>
    <w:basedOn w:val="Normal"/>
    <w:pPr>
      <w:tabs>
        <w:tab w:val="left" w:pos="723"/>
        <w:tab w:val="left" w:pos="1205"/>
      </w:tabs>
      <w:ind w:left="1200" w:hanging="1200"/>
    </w:pPr>
    <w:rPr>
      <w:sz w:val="21"/>
    </w:rPr>
  </w:style>
  <w:style w:type="paragraph" w:styleId="BodyText">
    <w:name w:val="Body Text"/>
    <w:basedOn w:val="Normal"/>
    <w:rPr>
      <w:sz w:val="20"/>
    </w:rPr>
  </w:style>
  <w:style w:type="paragraph" w:customStyle="1" w:styleId="MPatison">
    <w:name w:val="M. Patison"/>
    <w:basedOn w:val="Normal"/>
    <w:rPr>
      <w:rFonts w:ascii="Arial" w:hAnsi="Arial"/>
      <w:sz w:val="20"/>
    </w:rPr>
  </w:style>
  <w:style w:type="paragraph" w:styleId="NormalWeb">
    <w:name w:val="Normal (Web)"/>
    <w:basedOn w:val="Normal"/>
    <w:uiPriority w:val="99"/>
    <w:pPr>
      <w:spacing w:after="150"/>
    </w:pPr>
    <w:rPr>
      <w:rFonts w:ascii="Arial" w:eastAsia="Arial Unicode MS" w:hAnsi="Arial" w:cs="Arial"/>
      <w:color w:val="000000"/>
      <w:sz w:val="24"/>
    </w:rPr>
  </w:style>
  <w:style w:type="paragraph" w:styleId="BalloonText">
    <w:name w:val="Balloon Text"/>
    <w:basedOn w:val="Normal"/>
    <w:link w:val="BalloonTextChar"/>
    <w:rsid w:val="001543AD"/>
    <w:rPr>
      <w:rFonts w:ascii="Segoe UI" w:hAnsi="Segoe UI" w:cs="Segoe UI"/>
      <w:sz w:val="18"/>
      <w:szCs w:val="18"/>
    </w:rPr>
  </w:style>
  <w:style w:type="character" w:customStyle="1" w:styleId="BalloonTextChar">
    <w:name w:val="Balloon Text Char"/>
    <w:link w:val="BalloonText"/>
    <w:rsid w:val="001543AD"/>
    <w:rPr>
      <w:rFonts w:ascii="Segoe UI" w:hAnsi="Segoe UI" w:cs="Segoe UI"/>
      <w:sz w:val="18"/>
      <w:szCs w:val="18"/>
    </w:rPr>
  </w:style>
  <w:style w:type="character" w:customStyle="1" w:styleId="tablesaw-cell-content">
    <w:name w:val="tablesaw-cell-content"/>
    <w:rsid w:val="007A04DF"/>
  </w:style>
  <w:style w:type="character" w:styleId="Strong">
    <w:name w:val="Strong"/>
    <w:uiPriority w:val="22"/>
    <w:qFormat/>
    <w:rsid w:val="007A04DF"/>
    <w:rPr>
      <w:b/>
      <w:bCs/>
    </w:rPr>
  </w:style>
  <w:style w:type="paragraph" w:styleId="CommentText">
    <w:name w:val="annotation text"/>
    <w:basedOn w:val="Normal"/>
    <w:link w:val="CommentTextChar"/>
    <w:rPr>
      <w:sz w:val="20"/>
      <w:szCs w:val="20"/>
    </w:rPr>
  </w:style>
  <w:style w:type="character" w:customStyle="1" w:styleId="CommentTextChar">
    <w:name w:val="Comment Text Char"/>
    <w:basedOn w:val="DefaultParagraphFont"/>
    <w:link w:val="CommentText"/>
    <w:rPr>
      <w:rFonts w:ascii="Univers" w:hAnsi="Univers"/>
    </w:rPr>
  </w:style>
  <w:style w:type="character" w:styleId="CommentReference">
    <w:name w:val="annotation reference"/>
    <w:basedOn w:val="DefaultParagraphFont"/>
    <w:rPr>
      <w:sz w:val="16"/>
      <w:szCs w:val="16"/>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Subject">
    <w:name w:val="annotation subject"/>
    <w:basedOn w:val="CommentText"/>
    <w:next w:val="CommentText"/>
    <w:link w:val="CommentSubjectChar"/>
    <w:rsid w:val="00604E56"/>
    <w:rPr>
      <w:b/>
      <w:bCs/>
    </w:rPr>
  </w:style>
  <w:style w:type="character" w:customStyle="1" w:styleId="CommentSubjectChar">
    <w:name w:val="Comment Subject Char"/>
    <w:basedOn w:val="CommentTextChar"/>
    <w:link w:val="CommentSubject"/>
    <w:rsid w:val="00604E56"/>
    <w:rPr>
      <w:rFonts w:ascii="Univers" w:hAnsi="Univers"/>
      <w:b/>
      <w:bCs/>
    </w:rPr>
  </w:style>
  <w:style w:type="paragraph" w:styleId="Revision">
    <w:name w:val="Revision"/>
    <w:hidden/>
    <w:uiPriority w:val="99"/>
    <w:semiHidden/>
    <w:rsid w:val="00604E56"/>
    <w:rPr>
      <w:rFonts w:ascii="Univers" w:hAnsi="Univers"/>
      <w:sz w:val="22"/>
      <w:szCs w:val="24"/>
    </w:rPr>
  </w:style>
  <w:style w:type="paragraph" w:customStyle="1" w:styleId="TableParagraph">
    <w:name w:val="Table Paragraph"/>
    <w:basedOn w:val="Normal"/>
    <w:uiPriority w:val="1"/>
    <w:qFormat/>
    <w:rsid w:val="00406077"/>
    <w:pPr>
      <w:widowControl w:val="0"/>
      <w:autoSpaceDE w:val="0"/>
      <w:autoSpaceDN w:val="0"/>
      <w:spacing w:before="3" w:line="242" w:lineRule="exact"/>
      <w:ind w:left="294" w:right="379"/>
      <w:jc w:val="center"/>
    </w:pPr>
    <w:rPr>
      <w:rFonts w:ascii="Lucida Sans" w:eastAsia="Lucida Sans" w:hAnsi="Lucida Sans" w:cs="Lucida Sans"/>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2754662">
      <w:bodyDiv w:val="1"/>
      <w:marLeft w:val="0"/>
      <w:marRight w:val="0"/>
      <w:marTop w:val="0"/>
      <w:marBottom w:val="0"/>
      <w:divBdr>
        <w:top w:val="none" w:sz="0" w:space="0" w:color="auto"/>
        <w:left w:val="none" w:sz="0" w:space="0" w:color="auto"/>
        <w:bottom w:val="none" w:sz="0" w:space="0" w:color="auto"/>
        <w:right w:val="none" w:sz="0" w:space="0" w:color="auto"/>
      </w:divBdr>
      <w:divsChild>
        <w:div w:id="34083462">
          <w:marLeft w:val="0"/>
          <w:marRight w:val="0"/>
          <w:marTop w:val="0"/>
          <w:marBottom w:val="0"/>
          <w:divBdr>
            <w:top w:val="none" w:sz="0" w:space="0" w:color="auto"/>
            <w:left w:val="none" w:sz="0" w:space="0" w:color="auto"/>
            <w:bottom w:val="none" w:sz="0" w:space="0" w:color="auto"/>
            <w:right w:val="none" w:sz="0" w:space="0" w:color="auto"/>
          </w:divBdr>
        </w:div>
        <w:div w:id="1634786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A59CE38B0FA0B4F8B6BF2918FEFFEC1" ma:contentTypeVersion="15" ma:contentTypeDescription="Create a new document." ma:contentTypeScope="" ma:versionID="2280a38b50a071c5bbdb0df6ed9b1efc">
  <xsd:schema xmlns:xsd="http://www.w3.org/2001/XMLSchema" xmlns:xs="http://www.w3.org/2001/XMLSchema" xmlns:p="http://schemas.microsoft.com/office/2006/metadata/properties" xmlns:ns2="980eac9c-7929-4154-8b8e-356c3d7ed23b" xmlns:ns3="35d1ed90-8852-4cfa-a744-6419c8e0d891" targetNamespace="http://schemas.microsoft.com/office/2006/metadata/properties" ma:root="true" ma:fieldsID="1844a22dab34e01e3e0e85d7c7ff7a19" ns2:_="" ns3:_="">
    <xsd:import namespace="980eac9c-7929-4154-8b8e-356c3d7ed23b"/>
    <xsd:import namespace="35d1ed90-8852-4cfa-a744-6419c8e0d89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0eac9c-7929-4154-8b8e-356c3d7ed2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1ba3c91-676a-4174-bc9d-62bd6e144fb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5d1ed90-8852-4cfa-a744-6419c8e0d89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a894c7e0-f859-4401-810e-e80fef564fdc}" ma:internalName="TaxCatchAll" ma:showField="CatchAllData" ma:web="35d1ed90-8852-4cfa-a744-6419c8e0d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35d1ed90-8852-4cfa-a744-6419c8e0d891">
      <UserInfo>
        <DisplayName/>
        <AccountId xsi:nil="true"/>
        <AccountType/>
      </UserInfo>
    </SharedWithUsers>
    <lcf76f155ced4ddcb4097134ff3c332f xmlns="980eac9c-7929-4154-8b8e-356c3d7ed23b">
      <Terms xmlns="http://schemas.microsoft.com/office/infopath/2007/PartnerControls"/>
    </lcf76f155ced4ddcb4097134ff3c332f>
    <TaxCatchAll xmlns="35d1ed90-8852-4cfa-a744-6419c8e0d891" xsi:nil="true"/>
  </documentManagement>
</p:properties>
</file>

<file path=customXml/itemProps1.xml><?xml version="1.0" encoding="utf-8"?>
<ds:datastoreItem xmlns:ds="http://schemas.openxmlformats.org/officeDocument/2006/customXml" ds:itemID="{63BDB9FB-58DE-48D9-B09D-E18A30620A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0eac9c-7929-4154-8b8e-356c3d7ed23b"/>
    <ds:schemaRef ds:uri="35d1ed90-8852-4cfa-a744-6419c8e0d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A291316-58B1-4D16-8AA4-3D4414DCA0CB}">
  <ds:schemaRefs>
    <ds:schemaRef ds:uri="http://schemas.microsoft.com/sharepoint/v3/contenttype/forms"/>
  </ds:schemaRefs>
</ds:datastoreItem>
</file>

<file path=customXml/itemProps3.xml><?xml version="1.0" encoding="utf-8"?>
<ds:datastoreItem xmlns:ds="http://schemas.openxmlformats.org/officeDocument/2006/customXml" ds:itemID="{66A2F07D-B1BB-477C-AEF6-6F005184ACBB}">
  <ds:schemaRefs>
    <ds:schemaRef ds:uri="http://schemas.microsoft.com/office/2006/metadata/properties"/>
    <ds:schemaRef ds:uri="http://schemas.microsoft.com/office/infopath/2007/PartnerControls"/>
    <ds:schemaRef ds:uri="35d1ed90-8852-4cfa-a744-6419c8e0d891"/>
    <ds:schemaRef ds:uri="980eac9c-7929-4154-8b8e-356c3d7ed23b"/>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523</Words>
  <Characters>2986</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PROTOCOL</vt:lpstr>
    </vt:vector>
  </TitlesOfParts>
  <Company>MGCMH</Company>
  <LinksUpToDate>false</LinksUpToDate>
  <CharactersWithSpaces>3502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PROTOCOL</dc:title>
  <dc:subject/>
  <dc:creator>bjackson</dc:creator>
  <cp:keywords/>
  <dc:description/>
  <cp:lastModifiedBy>Tiffany Smith</cp:lastModifiedBy>
  <cp:revision>2</cp:revision>
  <cp:lastPrinted>2026-09-03T19:04:00Z</cp:lastPrinted>
  <dcterms:created xsi:type="dcterms:W3CDTF">2026-09-03T19:05:00Z</dcterms:created>
  <dcterms:modified xsi:type="dcterms:W3CDTF">2026-09-03T19:05:00Z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0x010100DA59CE38B0FA0B4F8B6BF2918FEFFEC1</vt:lpwstr>
  </property>
  <property fmtid="{D5CDD505-2E9C-101B-9397-08002B2CF9AE}" pid="3" name="xd_ProgID">
    <vt:lpwstr/>
  </property>
  <property fmtid="{D5CDD505-2E9C-101B-9397-08002B2CF9AE}" pid="4" name="TemplateUrl">
    <vt:lpwstr/>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y fmtid="{D5CDD505-2E9C-101B-9397-08002B2CF9AE}" pid="8" name="xd_Signature">
    <vt:bool>false</vt:bool>
  </property>
  <property fmtid="{D5CDD505-2E9C-101B-9397-08002B2CF9AE}" pid="9" name="MediaServiceImageTags">
    <vt:lpwstr/>
  </property>
  <property fmtid="{D5CDD505-2E9C-101B-9397-08002B2CF9AE}" pid="10" name="docLang">
    <vt:lpwstr>en</vt:lpwstr>
  </property>
</Properties>
</file>